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7" w:rsidRPr="00D96CD9" w:rsidRDefault="00136381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ED7" w:rsidRPr="00D96CD9">
        <w:rPr>
          <w:rFonts w:ascii="Times New Roman" w:hAnsi="Times New Roman" w:cs="Times New Roman"/>
          <w:sz w:val="28"/>
          <w:szCs w:val="28"/>
        </w:rPr>
        <w:t>Методичне  обʹєднання  вчителів  хімії  охоплює  2</w:t>
      </w:r>
      <w:r w:rsidR="00A97ED7" w:rsidRPr="00D33BE4">
        <w:rPr>
          <w:rFonts w:ascii="Times New Roman" w:hAnsi="Times New Roman" w:cs="Times New Roman"/>
          <w:sz w:val="28"/>
          <w:szCs w:val="28"/>
        </w:rPr>
        <w:t>7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 вчителів  району.  З  них:</w:t>
      </w:r>
    </w:p>
    <w:p w:rsidR="00A97ED7" w:rsidRPr="00D96CD9" w:rsidRDefault="00A97ED7" w:rsidP="00D96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3  вчителів  мають  кваліфікаційну    категорію  - «спеціаліст  вищої  категорії» (11 %),</w:t>
      </w:r>
    </w:p>
    <w:p w:rsidR="00A97ED7" w:rsidRPr="00D96CD9" w:rsidRDefault="00A97ED7" w:rsidP="00D96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1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вчителів    - «спеціаліст  першої  категорії»  (4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D96CD9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97ED7" w:rsidRPr="00D96CD9" w:rsidRDefault="00A97ED7" w:rsidP="00D96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вчителів  -  «спеціаліст  другої  категорії»  (1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96CD9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A97ED7" w:rsidRPr="00D96CD9" w:rsidRDefault="00A97ED7" w:rsidP="00D96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вчителів – категорію «спеціаліст» (2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96CD9">
        <w:rPr>
          <w:rFonts w:ascii="Times New Roman" w:hAnsi="Times New Roman" w:cs="Times New Roman"/>
          <w:sz w:val="28"/>
          <w:szCs w:val="28"/>
        </w:rPr>
        <w:t>%)</w:t>
      </w:r>
    </w:p>
    <w:p w:rsidR="00A97ED7" w:rsidRPr="00D96CD9" w:rsidRDefault="00A97ED7" w:rsidP="00D96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1 вчитель  має незакінчену вищу освіту  (навчається  в  МДПУ)  (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D96CD9">
        <w:rPr>
          <w:rFonts w:ascii="Times New Roman" w:hAnsi="Times New Roman" w:cs="Times New Roman"/>
          <w:sz w:val="28"/>
          <w:szCs w:val="28"/>
        </w:rPr>
        <w:t>%)</w:t>
      </w:r>
    </w:p>
    <w:p w:rsidR="00136381" w:rsidRPr="00D96CD9" w:rsidRDefault="00A97ED7" w:rsidP="00D96CD9">
      <w:pPr>
        <w:shd w:val="clear" w:color="auto" w:fill="FFFFFF"/>
        <w:spacing w:after="0"/>
        <w:ind w:left="-142" w:right="-1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2 вчителів (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D96CD9">
        <w:rPr>
          <w:rFonts w:ascii="Times New Roman" w:hAnsi="Times New Roman" w:cs="Times New Roman"/>
          <w:sz w:val="28"/>
          <w:szCs w:val="28"/>
        </w:rPr>
        <w:t xml:space="preserve">%)  мають  педагогічне  звання   «Старший вчитель»  -    </w:t>
      </w:r>
    </w:p>
    <w:p w:rsidR="00A97ED7" w:rsidRPr="00D96CD9" w:rsidRDefault="00A97ED7" w:rsidP="00D96CD9">
      <w:pPr>
        <w:shd w:val="clear" w:color="auto" w:fill="FFFFFF"/>
        <w:spacing w:after="0"/>
        <w:ind w:right="-15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Галак  Р.С.  (Якимівська  ЗОШ  № 1)  та  Сокол  Л.Г.  (Радивонівська ЗОШ).  </w:t>
      </w:r>
    </w:p>
    <w:p w:rsidR="006A113E" w:rsidRPr="00D96CD9" w:rsidRDefault="00A97ED7" w:rsidP="00D96CD9">
      <w:pPr>
        <w:shd w:val="clear" w:color="auto" w:fill="FFFFFF"/>
        <w:spacing w:after="0"/>
        <w:ind w:left="-142" w:right="-1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13E" w:rsidRPr="00D96CD9" w:rsidRDefault="006A113E" w:rsidP="00D96CD9">
      <w:pPr>
        <w:shd w:val="clear" w:color="auto" w:fill="FFFFFF"/>
        <w:spacing w:after="0"/>
        <w:ind w:left="-142" w:right="-15" w:firstLine="5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CD9">
        <w:rPr>
          <w:rFonts w:ascii="Times New Roman" w:hAnsi="Times New Roman" w:cs="Times New Roman"/>
          <w:b/>
          <w:i/>
          <w:sz w:val="28"/>
          <w:szCs w:val="28"/>
        </w:rPr>
        <w:t>Кількісно – якісний  склад  вчителів  хімії</w:t>
      </w:r>
    </w:p>
    <w:p w:rsidR="006A113E" w:rsidRPr="00D96CD9" w:rsidRDefault="006A113E" w:rsidP="00D96CD9">
      <w:pPr>
        <w:shd w:val="clear" w:color="auto" w:fill="FFFFFF"/>
        <w:spacing w:after="0"/>
        <w:ind w:left="-142" w:right="-15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43575" cy="3486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13E" w:rsidRPr="00D96CD9" w:rsidRDefault="006A113E" w:rsidP="00D96CD9">
      <w:pPr>
        <w:shd w:val="clear" w:color="auto" w:fill="FFFFFF"/>
        <w:spacing w:after="0"/>
        <w:ind w:left="-142" w:right="-15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A97ED7" w:rsidRPr="00D96CD9" w:rsidRDefault="00A97ED7" w:rsidP="00D96CD9">
      <w:pPr>
        <w:shd w:val="clear" w:color="auto" w:fill="FFFFFF"/>
        <w:spacing w:after="0"/>
        <w:ind w:right="-15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У  20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96CD9">
        <w:rPr>
          <w:rFonts w:ascii="Times New Roman" w:hAnsi="Times New Roman" w:cs="Times New Roman"/>
          <w:sz w:val="28"/>
          <w:szCs w:val="28"/>
        </w:rPr>
        <w:t>-201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6CD9">
        <w:rPr>
          <w:rFonts w:ascii="Times New Roman" w:hAnsi="Times New Roman" w:cs="Times New Roman"/>
          <w:sz w:val="28"/>
          <w:szCs w:val="28"/>
        </w:rPr>
        <w:t xml:space="preserve"> навчальному  році  методичне обʹєднання  вчителів  хімії  продовжило  роботу  над    проблемною  темою  «Формування  творчих  компетентностей  на  уроках  методами  інтерактивного  навчання  як  умова  підвищення  інтересу  до  предмета»,  яка  випливає  з  проблемної  теми  району  «Науково – методичне  та  психолого – педагогічне  забезпечення  впровадження ІКТ  як  умова  індивідуального  розвитку  та  самовдосконалення  учнів».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7ED7" w:rsidRPr="00D96CD9" w:rsidRDefault="00A97ED7" w:rsidP="00D96CD9">
      <w:pPr>
        <w:shd w:val="clear" w:color="auto" w:fill="FFFFFF"/>
        <w:spacing w:after="0"/>
        <w:ind w:right="-15" w:firstLine="4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Основні напрямки роботи РМО були сформульовані з урахуванням рекомендацій РМК, ЗОІППО та з метою реалізації методичної теми району: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забезпечувати  виконання   державних вимог щодо рівня хімічної  освіти учнів;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підвищувати  творчу,  інформаційну компетентності  вчителів  за рахунок впровадження компетентнісного підходу в процес викладання хімії ;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підвищувати </w:t>
      </w:r>
      <w:r w:rsidR="002936CF"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освітню,  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>професійну компетентніст</w:t>
      </w:r>
      <w:r w:rsidR="002936CF" w:rsidRPr="00D96CD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 вчителів хімії   району;  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організовувати  навчальний  процес,  впроваджуючи  ІКТ  та  інтерактивні  форми  і  методи  навчання;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забезпечувати   диференційований,   допрофільний  та   профільний підход</w:t>
      </w:r>
      <w:r w:rsidR="0099789B"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до навчання;</w:t>
      </w:r>
    </w:p>
    <w:p w:rsidR="002936CF" w:rsidRPr="00D96CD9" w:rsidRDefault="002936CF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організовувати  експериментальну  діяльність  </w:t>
      </w:r>
      <w:r w:rsidR="0099789B" w:rsidRPr="00D96C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 предмету</w:t>
      </w:r>
      <w:r w:rsidR="0099789B" w:rsidRPr="00D96C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89B" w:rsidRPr="00D96CD9" w:rsidRDefault="0099789B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вивчати,    узагальнювати  та  втілювати  в  практику  роботи  ППД  вчителів  району;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організовувати  робот</w:t>
      </w:r>
      <w:r w:rsidR="0099789B" w:rsidRPr="00D96C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 з  обдарованими  учнями;</w:t>
      </w:r>
    </w:p>
    <w:p w:rsidR="0099789B" w:rsidRPr="00D96CD9" w:rsidRDefault="0099789B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організовувати  семінари  з  відвідуванням  уроків, наступним  аналізом  і  самоаналізом;</w:t>
      </w:r>
    </w:p>
    <w:p w:rsidR="0099789B" w:rsidRPr="00D96CD9" w:rsidRDefault="0099789B" w:rsidP="00D96CD9">
      <w:pPr>
        <w:pStyle w:val="a3"/>
        <w:numPr>
          <w:ilvl w:val="0"/>
          <w:numId w:val="2"/>
        </w:numPr>
        <w:shd w:val="clear" w:color="auto" w:fill="FFFFFF"/>
        <w:spacing w:after="0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впровадити  звіти   вчителів  про самоосвіту  та   їх  роботу  на  курсах  підвищення  кваліфікації;  </w:t>
      </w:r>
    </w:p>
    <w:p w:rsidR="00A97ED7" w:rsidRPr="00D96CD9" w:rsidRDefault="00A97ED7" w:rsidP="00D96CD9">
      <w:pPr>
        <w:pStyle w:val="a3"/>
        <w:numPr>
          <w:ilvl w:val="0"/>
          <w:numId w:val="2"/>
        </w:numPr>
        <w:shd w:val="clear" w:color="auto" w:fill="FFFFFF"/>
        <w:spacing w:after="0"/>
        <w:ind w:left="993" w:right="-1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 вдосконалювати   рівень   викладання предмету.</w:t>
      </w:r>
    </w:p>
    <w:p w:rsidR="00A97ED7" w:rsidRPr="00D96CD9" w:rsidRDefault="0099789B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     З  метою  реалізації </w:t>
      </w:r>
      <w:r w:rsidR="00090796"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="00A97ED7" w:rsidRPr="00D96CD9">
        <w:rPr>
          <w:rFonts w:ascii="Times New Roman" w:hAnsi="Times New Roman" w:cs="Times New Roman"/>
          <w:sz w:val="28"/>
          <w:szCs w:val="28"/>
        </w:rPr>
        <w:t>задач,  поставлених   РМО  на  навчальний  рік    було  проведено  чотири   засідання методичного  обʹєднання   з    наступних  тем:</w:t>
      </w:r>
    </w:p>
    <w:p w:rsidR="00A97ED7" w:rsidRPr="00D96CD9" w:rsidRDefault="00A97ED7" w:rsidP="00D96CD9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Аналіз  роботи  вчителів  хімії  за  200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96CD9">
        <w:rPr>
          <w:rFonts w:ascii="Times New Roman" w:hAnsi="Times New Roman" w:cs="Times New Roman"/>
          <w:sz w:val="28"/>
          <w:szCs w:val="28"/>
        </w:rPr>
        <w:t>-20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н.р.  та  завдання  на  20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96CD9">
        <w:rPr>
          <w:rFonts w:ascii="Times New Roman" w:hAnsi="Times New Roman" w:cs="Times New Roman"/>
          <w:sz w:val="28"/>
          <w:szCs w:val="28"/>
        </w:rPr>
        <w:t>-201</w:t>
      </w:r>
      <w:r w:rsidRPr="00D96C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6CD9">
        <w:rPr>
          <w:rFonts w:ascii="Times New Roman" w:hAnsi="Times New Roman" w:cs="Times New Roman"/>
          <w:sz w:val="28"/>
          <w:szCs w:val="28"/>
        </w:rPr>
        <w:t xml:space="preserve"> н.р..</w:t>
      </w:r>
    </w:p>
    <w:p w:rsidR="00A97ED7" w:rsidRPr="00D96CD9" w:rsidRDefault="00A97ED7" w:rsidP="00D96CD9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2. </w:t>
      </w:r>
      <w:r w:rsidR="0099789B" w:rsidRPr="00D96CD9">
        <w:rPr>
          <w:rFonts w:ascii="Times New Roman" w:hAnsi="Times New Roman" w:cs="Times New Roman"/>
          <w:sz w:val="28"/>
          <w:szCs w:val="28"/>
        </w:rPr>
        <w:t>Формування  компетенції  самоосвіти  й  саморозвитку  учнів  на  уроках  хімії</w:t>
      </w:r>
      <w:r w:rsidRPr="00D96CD9">
        <w:rPr>
          <w:rFonts w:ascii="Times New Roman" w:hAnsi="Times New Roman" w:cs="Times New Roman"/>
          <w:sz w:val="28"/>
          <w:szCs w:val="28"/>
        </w:rPr>
        <w:t>.</w:t>
      </w:r>
    </w:p>
    <w:p w:rsidR="00A97ED7" w:rsidRPr="00D96CD9" w:rsidRDefault="0099789B" w:rsidP="00D96CD9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Використання  методу  проектів  на   уроках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 хімії.</w:t>
      </w:r>
    </w:p>
    <w:p w:rsidR="00136381" w:rsidRPr="00D96CD9" w:rsidRDefault="00A97ED7" w:rsidP="00D96CD9">
      <w:pPr>
        <w:pStyle w:val="a3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Формування  </w:t>
      </w:r>
      <w:r w:rsidR="0099789B" w:rsidRPr="00D96CD9">
        <w:rPr>
          <w:rFonts w:ascii="Times New Roman" w:hAnsi="Times New Roman" w:cs="Times New Roman"/>
          <w:sz w:val="28"/>
          <w:szCs w:val="28"/>
        </w:rPr>
        <w:t>компетентностей  на  уроках  хімії  методами  інтерактивного  навчання,  як  умова  підвищення  індивідуального  розвитку  учня</w:t>
      </w:r>
      <w:r w:rsidRPr="00D96CD9">
        <w:rPr>
          <w:rFonts w:ascii="Times New Roman" w:hAnsi="Times New Roman" w:cs="Times New Roman"/>
          <w:sz w:val="28"/>
          <w:szCs w:val="28"/>
        </w:rPr>
        <w:t>.</w:t>
      </w:r>
    </w:p>
    <w:p w:rsidR="00A97ED7" w:rsidRPr="00D96CD9" w:rsidRDefault="00136381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30  серпня  2010  року  на  базі  Якимівської  ЗОШ  №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</w:rPr>
        <w:t xml:space="preserve">1  відбувся  теоретичний  семінар  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</w:rPr>
        <w:t>для  вчителів  хімії.  На  семінарі  розглянуто програсно – методичне  забезпечення  викладання  курсу  хімії  у  2010-2011 н.р.  та  особливості  викладання  предмета  у  10 класі. Розглядалось  питання  роботи   з  обдарованими  учнями.  Надано  методичні  рекомендації  до  технології  розвитку  креативного  мислення   при  вивченні  хімії.</w:t>
      </w:r>
      <w:r w:rsidR="00B30F75" w:rsidRPr="00D96CD9">
        <w:rPr>
          <w:rFonts w:ascii="Times New Roman" w:hAnsi="Times New Roman" w:cs="Times New Roman"/>
          <w:sz w:val="28"/>
          <w:szCs w:val="28"/>
        </w:rPr>
        <w:t xml:space="preserve">  Розглядалось  питання  щодо  забезпечення  хімічними  реактивами  кабінетів  хімії.  Під  час  підведення  підсумків  роботи  семінару  були  визначені  конкретні  рекомендації  щодо  опрацювання  науково – методичної  літератури,  збільшення  практичної  спрямованості  навчання  хімії,  удосконалення  системи  контролю  навчальних  досягнень  учнів шляхом  систематичного  використання тестів  у  навчальному  процесі,  розробки  індивідуальних  програм  роботи  з  обдарованими  учнями. </w:t>
      </w:r>
    </w:p>
    <w:p w:rsidR="00B30F75" w:rsidRPr="00D96CD9" w:rsidRDefault="00B30F75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lastRenderedPageBreak/>
        <w:t>Активну  участь  у  роботі  семінару  прийняли  Пахнич  С.В.  (Новоданилівська  ЗОШ),  Поліник  Т.Л.  (Вовчанська  ЗОШ),   Полякова  Н.М.,  Галак  Р.С. (Якимівська  ЗОШ № 1),  Ушакова  Т.Д.  (Великотернівська  ЗОШ),  методист  РМК  Коваленко  Л.І..</w:t>
      </w:r>
    </w:p>
    <w:p w:rsidR="00CC123F" w:rsidRPr="00D96CD9" w:rsidRDefault="00CC123F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Поставивши  за  мету   розширити   знання вчителів про</w:t>
      </w:r>
      <w:r w:rsidRPr="00D96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</w:rPr>
        <w:t>формування  компетенції  самоосвіти  та  саморозвитку  учнів  на  уроках  хімії  на  засіданні  РМО  (10  листопада  2010 р.  на  базі  Розівської  ЗОШ  І-ІІІ ст..) були  розглянуті  такі актуальні питання:</w:t>
      </w:r>
    </w:p>
    <w:p w:rsidR="00CC123F" w:rsidRPr="00D96CD9" w:rsidRDefault="00CC123F" w:rsidP="00D96CD9">
      <w:pPr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1.  Формування  компетенції  самоосвіти  й  саморозвитку учнів  на  уроках хімії.  Пахнич  С.В.  (Новоданилівська  ЗОШ  І-ІІІ ст..)</w:t>
      </w:r>
    </w:p>
    <w:p w:rsidR="00CC123F" w:rsidRPr="00D96CD9" w:rsidRDefault="00CC123F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  2. Педагогічні  методи  та   прийоми.  які  сприяють  формуванню  компетенції  самоосвіти й  саморозвитку  учнів.  Любайкіна О.О.  (Якимівська  гімназія)</w:t>
      </w:r>
    </w:p>
    <w:p w:rsidR="00CC123F" w:rsidRPr="00D96CD9" w:rsidRDefault="00CC123F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6CD9">
        <w:rPr>
          <w:rFonts w:ascii="Times New Roman" w:hAnsi="Times New Roman" w:cs="Times New Roman"/>
          <w:sz w:val="28"/>
          <w:szCs w:val="28"/>
        </w:rPr>
        <w:t>В  обговоренні  питань  за  «Круглим  столом»  вчителі поділилися   досвідом   з  питань :</w:t>
      </w:r>
    </w:p>
    <w:p w:rsidR="00B30F75" w:rsidRPr="00D96CD9" w:rsidRDefault="00CC123F" w:rsidP="00D96CD9">
      <w:pPr>
        <w:pStyle w:val="a3"/>
        <w:numPr>
          <w:ilvl w:val="0"/>
          <w:numId w:val="5"/>
        </w:numPr>
        <w:spacing w:after="0"/>
        <w:ind w:left="993" w:hanging="42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«Як  я  формую  компетенцію  самоосвіти  й  саморозвитку  на  уроках  хімії» - Леонтьєва  О.В.  (Охримівська  ЗОш  І-ІІІ ст..),  Простак  О.В.  (Шелюгівська  ЗОШ  І-ІІІ ст.)</w:t>
      </w:r>
      <w:r w:rsidR="00572BB4" w:rsidRPr="00D96CD9">
        <w:rPr>
          <w:rFonts w:ascii="Times New Roman" w:hAnsi="Times New Roman" w:cs="Times New Roman"/>
          <w:sz w:val="28"/>
          <w:szCs w:val="28"/>
        </w:rPr>
        <w:t>.</w:t>
      </w:r>
    </w:p>
    <w:p w:rsidR="00572BB4" w:rsidRPr="00D96CD9" w:rsidRDefault="00572BB4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Метою  засідання  вчителів  хімії  стало  ознайомлення  з  методичними  підходами    формування компетенції  самоосвіти  й  саморозвитку  учнів  на  уроках  хімії.</w:t>
      </w:r>
    </w:p>
    <w:p w:rsidR="00907A63" w:rsidRPr="00D96CD9" w:rsidRDefault="00572BB4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19 січня  2011 року  проведено засідання   для вчителів  хімії  на  базі  Володимирівської  ЗОШ  І-ІІІ ст..  Метою  семінару  було  показати  роботу  вчителів  щодо   організації  та  впровадження  методу  проектів  у  викладанні  хімії. </w:t>
      </w:r>
      <w:r w:rsidR="00907A63" w:rsidRPr="00D96CD9">
        <w:rPr>
          <w:rFonts w:ascii="Times New Roman" w:hAnsi="Times New Roman" w:cs="Times New Roman"/>
          <w:sz w:val="28"/>
          <w:szCs w:val="28"/>
        </w:rPr>
        <w:t xml:space="preserve">  Вчителі ознайомилися  з  наступними  питаннями:</w:t>
      </w:r>
    </w:p>
    <w:p w:rsidR="00907A63" w:rsidRPr="00D96CD9" w:rsidRDefault="00907A63" w:rsidP="00D96CD9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Проектна  технологія.  Пахнич  С.В.  (Новоданилівська  ЗОШ  І-ІІІ ст..)</w:t>
      </w:r>
    </w:p>
    <w:p w:rsidR="00F3630B" w:rsidRPr="00D96CD9" w:rsidRDefault="00907A63" w:rsidP="00D96CD9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Методичні  підходи  до  організації  проектної  діяльності  на  уроках  хімії .   Зубков  С.В.  (</w:t>
      </w:r>
      <w:r w:rsidR="00F3630B" w:rsidRPr="00D96CD9">
        <w:rPr>
          <w:rFonts w:ascii="Times New Roman" w:hAnsi="Times New Roman" w:cs="Times New Roman"/>
          <w:sz w:val="28"/>
          <w:szCs w:val="28"/>
        </w:rPr>
        <w:t>Переможненська  ЗОШ  І-ІІІ ст</w:t>
      </w:r>
      <w:r w:rsidRPr="00D96CD9">
        <w:rPr>
          <w:rFonts w:ascii="Times New Roman" w:hAnsi="Times New Roman" w:cs="Times New Roman"/>
          <w:sz w:val="28"/>
          <w:szCs w:val="28"/>
        </w:rPr>
        <w:t>)</w:t>
      </w:r>
      <w:r w:rsidR="00F3630B" w:rsidRPr="00D96CD9">
        <w:rPr>
          <w:rFonts w:ascii="Times New Roman" w:hAnsi="Times New Roman" w:cs="Times New Roman"/>
          <w:sz w:val="28"/>
          <w:szCs w:val="28"/>
        </w:rPr>
        <w:t>.</w:t>
      </w:r>
    </w:p>
    <w:p w:rsidR="00F3630B" w:rsidRPr="00D96CD9" w:rsidRDefault="00F3630B" w:rsidP="00D96CD9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Метод  проектів  у  підготовці  та  проведенні  тижня  хімії  в  школі.  Гладка  О.М.  (Атманайська  ЗОШ  І-ІІІ ст)</w:t>
      </w:r>
    </w:p>
    <w:p w:rsidR="00356EEF" w:rsidRPr="00D96CD9" w:rsidRDefault="00356EEF" w:rsidP="00D96CD9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Проектний  підхід  як  засіб  активізації  пізнавальної  діяльності учнів  під  час  вивчення  хімії. Поліник  Т.Л.  (Вовчанська  ЗОШ  І-ІІІ ст).</w:t>
      </w:r>
    </w:p>
    <w:p w:rsidR="00572BB4" w:rsidRPr="00D96CD9" w:rsidRDefault="00356EEF" w:rsidP="00D96CD9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О</w:t>
      </w:r>
      <w:r w:rsidR="00907A63" w:rsidRPr="00D96CD9">
        <w:rPr>
          <w:rFonts w:ascii="Times New Roman" w:hAnsi="Times New Roman" w:cs="Times New Roman"/>
          <w:sz w:val="28"/>
          <w:szCs w:val="28"/>
        </w:rPr>
        <w:t xml:space="preserve">бговорили  </w:t>
      </w:r>
      <w:r w:rsidR="00572BB4"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</w:rPr>
        <w:t xml:space="preserve">питання  «Моя  власна  практика  використання  методу  проектів  під  час  проведення  уроків  та  в  позаурочний  час»  -  вчителі  Алімкін  С.В.  (Розівська  ЗОШ  І-ІІІ ст),  Толмачова  Л.Є  (Азовська ЗОШ  І-ІІІ ст.),  Федорова  Н.В.  (Давидівська  ЗОШ  І-ІІІ ст..)  </w:t>
      </w:r>
      <w:r w:rsidR="00572BB4" w:rsidRPr="00D96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93B" w:rsidRPr="00D96CD9" w:rsidRDefault="00E47AF4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27  квітня  2011 р.  на  базі  Якимівської  ЗОШ  № 1 вчителі  хімії  працювали  над  питанням  формування  компетентностей  на уроках  хімії  методами  </w:t>
      </w:r>
      <w:r w:rsidRPr="00D96CD9">
        <w:rPr>
          <w:rFonts w:ascii="Times New Roman" w:hAnsi="Times New Roman" w:cs="Times New Roman"/>
          <w:sz w:val="28"/>
          <w:szCs w:val="28"/>
        </w:rPr>
        <w:lastRenderedPageBreak/>
        <w:t>інтерактивного  навчання,  як  умови підвищення  індивідуального  розвитку  учня.</w:t>
      </w:r>
    </w:p>
    <w:p w:rsidR="0048093B" w:rsidRPr="00D96CD9" w:rsidRDefault="0048093B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Вчителі  ознайомилися  з  питаннями:</w:t>
      </w:r>
    </w:p>
    <w:p w:rsidR="0048093B" w:rsidRPr="00D96CD9" w:rsidRDefault="0048093B" w:rsidP="00D96CD9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Технологія  інтерактивного  навчання.  Пахнич  С.В.  (Новоданилівська  ЗОШ  І-ІІІ ст..)</w:t>
      </w:r>
    </w:p>
    <w:p w:rsidR="0048093B" w:rsidRPr="00D96CD9" w:rsidRDefault="0048093B" w:rsidP="00D96CD9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Формування основних  груп  компетентностей  на  уроках  хімії.  Толмачова  Л.Є.  (Азовська  ЗОШ  І-ІІІ ст..)</w:t>
      </w:r>
    </w:p>
    <w:p w:rsidR="0048093B" w:rsidRPr="00D96CD9" w:rsidRDefault="0048093B" w:rsidP="00D96CD9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Колективна  діяльність  учнів  в  процесі  пізнання,  як  важлива  умова  інтерактивного  навчання.  Наумова  О.В.  (Якимівська  ЗОш  № 1)</w:t>
      </w:r>
    </w:p>
    <w:p w:rsidR="002F256C" w:rsidRPr="00D96CD9" w:rsidRDefault="002F256C" w:rsidP="00D96CD9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Інтерактивні  методи  навчання  на  уроках  хімії.  Тести  і  семінарські  заняття.  Полякова  Н.М.  (Якимівська  ЗОШ  І-ІІІ ст)</w:t>
      </w:r>
    </w:p>
    <w:p w:rsidR="00B30F75" w:rsidRPr="00D96CD9" w:rsidRDefault="002F256C" w:rsidP="00D96CD9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Хімічний  експеримент  у  школі  -  елемент  формуання  дослідницької  компетентності  учнів.  Галак  Р.С.  (Якимівська  ЗОШ  № 1)</w:t>
      </w:r>
      <w:r w:rsidR="0048093B" w:rsidRPr="00D96CD9">
        <w:rPr>
          <w:rFonts w:ascii="Times New Roman" w:hAnsi="Times New Roman" w:cs="Times New Roman"/>
          <w:sz w:val="28"/>
          <w:szCs w:val="28"/>
        </w:rPr>
        <w:t xml:space="preserve">  </w:t>
      </w:r>
      <w:r w:rsidR="00E47AF4" w:rsidRPr="00D96C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56C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="002F256C" w:rsidRPr="00D96CD9">
        <w:rPr>
          <w:rFonts w:ascii="Times New Roman" w:hAnsi="Times New Roman" w:cs="Times New Roman"/>
          <w:sz w:val="28"/>
          <w:szCs w:val="28"/>
        </w:rPr>
        <w:t xml:space="preserve">     У  2010-2011 н.р.  вчителі  відвідали </w:t>
      </w:r>
      <w:r w:rsidR="00BE748D" w:rsidRPr="00D96CD9">
        <w:rPr>
          <w:rFonts w:ascii="Times New Roman" w:hAnsi="Times New Roman" w:cs="Times New Roman"/>
          <w:sz w:val="28"/>
          <w:szCs w:val="28"/>
        </w:rPr>
        <w:t xml:space="preserve">  та  обговорили  </w:t>
      </w:r>
      <w:r w:rsidR="002F256C" w:rsidRPr="00D96CD9">
        <w:rPr>
          <w:rFonts w:ascii="Times New Roman" w:hAnsi="Times New Roman" w:cs="Times New Roman"/>
          <w:sz w:val="28"/>
          <w:szCs w:val="28"/>
        </w:rPr>
        <w:t xml:space="preserve"> відкриті  уроки:</w:t>
      </w:r>
    </w:p>
    <w:p w:rsidR="00136381" w:rsidRPr="00D96CD9" w:rsidRDefault="002F256C" w:rsidP="00D96CD9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«Реакції  обміну  між  розчинами  електролітів.  Йонн</w:t>
      </w:r>
      <w:r w:rsidR="00BC1333">
        <w:rPr>
          <w:rFonts w:ascii="Times New Roman" w:hAnsi="Times New Roman" w:cs="Times New Roman"/>
          <w:sz w:val="28"/>
          <w:szCs w:val="28"/>
        </w:rPr>
        <w:t>і</w:t>
      </w:r>
      <w:r w:rsidRPr="00D96CD9">
        <w:rPr>
          <w:rFonts w:ascii="Times New Roman" w:hAnsi="Times New Roman" w:cs="Times New Roman"/>
          <w:sz w:val="28"/>
          <w:szCs w:val="28"/>
        </w:rPr>
        <w:t xml:space="preserve">  рівняння  реакцій»   -  9 клас,    Алімкін  С.В.  (Розівська  ЗОШ  І-ІІІ ст.),</w:t>
      </w:r>
    </w:p>
    <w:p w:rsidR="002F256C" w:rsidRPr="00D96CD9" w:rsidRDefault="002F256C" w:rsidP="00D96CD9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«Масова  частка  елемента  в  речовині»  -  7 клас,  </w:t>
      </w:r>
      <w:r w:rsidR="00BC1333">
        <w:rPr>
          <w:rFonts w:ascii="Times New Roman" w:hAnsi="Times New Roman" w:cs="Times New Roman"/>
          <w:sz w:val="28"/>
          <w:szCs w:val="28"/>
        </w:rPr>
        <w:t>М</w:t>
      </w:r>
      <w:r w:rsidRPr="00D96CD9">
        <w:rPr>
          <w:rFonts w:ascii="Times New Roman" w:hAnsi="Times New Roman" w:cs="Times New Roman"/>
          <w:sz w:val="28"/>
          <w:szCs w:val="28"/>
        </w:rPr>
        <w:t>акаров  Д.Ю.  (Володимирівська  ЗОШ  І-ІІІ ст.),</w:t>
      </w:r>
    </w:p>
    <w:p w:rsidR="002F256C" w:rsidRPr="00D96CD9" w:rsidRDefault="002F256C" w:rsidP="00D96CD9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«Хімія  і  екологія»  - 11 клас, Сімченко  С.А., (Якимівська  ЗОШ  І-ІІІ ст.)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</w:rPr>
        <w:t xml:space="preserve"> Систематичне  підвищення  професійного  рівня  є  найважливішою  умовою  успішної  роботи  кожного  вчителя,  яке здійснюється  через  самоосвіту,  курси  підвищення  кваліфікації,  вивчення  та  впровадження  в  практику  своєї  роботи  передового  педагогічного  досвіду.  </w:t>
      </w:r>
    </w:p>
    <w:p w:rsidR="002761B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   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Всі  члени  РМО  регулярно  проходять  курсову  перепідготовку.  Одержані  знання  і  досвід  уміло  адаптують  до  практичної  діяльності,  що  знаходить  відображення  на  відкритих  уроках,  позакласних  заходах,  конкурсах.  Згідно  плану  в  цьому  навчальному  році  курсову  перепідготовку  пройшли    </w:t>
      </w:r>
      <w:r w:rsidR="00D33BE4">
        <w:rPr>
          <w:rFonts w:ascii="Times New Roman" w:hAnsi="Times New Roman" w:cs="Times New Roman"/>
          <w:sz w:val="28"/>
          <w:szCs w:val="28"/>
        </w:rPr>
        <w:t>дев</w:t>
      </w:r>
      <w:r w:rsidR="00677CEE">
        <w:rPr>
          <w:rFonts w:ascii="Times New Roman" w:hAnsi="Times New Roman" w:cs="Times New Roman"/>
          <w:sz w:val="28"/>
          <w:szCs w:val="28"/>
        </w:rPr>
        <w:t>'</w:t>
      </w:r>
      <w:r w:rsidR="00D33BE4">
        <w:rPr>
          <w:rFonts w:ascii="Times New Roman" w:hAnsi="Times New Roman" w:cs="Times New Roman"/>
          <w:sz w:val="28"/>
          <w:szCs w:val="28"/>
        </w:rPr>
        <w:t xml:space="preserve">ять 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вчителів:  </w:t>
      </w:r>
      <w:r w:rsidR="002761B7" w:rsidRPr="00D96CD9">
        <w:rPr>
          <w:rFonts w:ascii="Times New Roman" w:hAnsi="Times New Roman" w:cs="Times New Roman"/>
          <w:sz w:val="28"/>
          <w:szCs w:val="28"/>
        </w:rPr>
        <w:t>Толмачова  Л.Є.</w:t>
      </w:r>
      <w:r w:rsidRPr="00D96CD9">
        <w:rPr>
          <w:rFonts w:ascii="Times New Roman" w:hAnsi="Times New Roman" w:cs="Times New Roman"/>
          <w:sz w:val="28"/>
          <w:szCs w:val="28"/>
        </w:rPr>
        <w:t xml:space="preserve">  (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Азовська 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ЗОШ),  </w:t>
      </w:r>
      <w:r w:rsidR="002761B7" w:rsidRPr="00D96CD9">
        <w:rPr>
          <w:rFonts w:ascii="Times New Roman" w:hAnsi="Times New Roman" w:cs="Times New Roman"/>
          <w:sz w:val="28"/>
          <w:szCs w:val="28"/>
        </w:rPr>
        <w:t>Гладка  О.М.</w:t>
      </w:r>
      <w:r w:rsidRPr="00D96CD9">
        <w:rPr>
          <w:rFonts w:ascii="Times New Roman" w:hAnsi="Times New Roman" w:cs="Times New Roman"/>
          <w:sz w:val="28"/>
          <w:szCs w:val="28"/>
        </w:rPr>
        <w:t xml:space="preserve">  (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Атманайська 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ЗОШ),  </w:t>
      </w:r>
      <w:r w:rsidR="002761B7" w:rsidRPr="00D96CD9">
        <w:rPr>
          <w:rFonts w:ascii="Times New Roman" w:hAnsi="Times New Roman" w:cs="Times New Roman"/>
          <w:sz w:val="28"/>
          <w:szCs w:val="28"/>
        </w:rPr>
        <w:t>Лєонтьєва  О.О.</w:t>
      </w:r>
      <w:r w:rsidRPr="00D96CD9">
        <w:rPr>
          <w:rFonts w:ascii="Times New Roman" w:hAnsi="Times New Roman" w:cs="Times New Roman"/>
          <w:sz w:val="28"/>
          <w:szCs w:val="28"/>
        </w:rPr>
        <w:t xml:space="preserve">  (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Охримівська  </w:t>
      </w:r>
      <w:r w:rsidRPr="00D96CD9">
        <w:rPr>
          <w:rFonts w:ascii="Times New Roman" w:hAnsi="Times New Roman" w:cs="Times New Roman"/>
          <w:sz w:val="28"/>
          <w:szCs w:val="28"/>
        </w:rPr>
        <w:t xml:space="preserve">ЗОШ),  </w:t>
      </w:r>
      <w:r w:rsidR="002761B7" w:rsidRPr="00D96CD9">
        <w:rPr>
          <w:rFonts w:ascii="Times New Roman" w:hAnsi="Times New Roman" w:cs="Times New Roman"/>
          <w:sz w:val="28"/>
          <w:szCs w:val="28"/>
        </w:rPr>
        <w:t>Любайкіна  О.О.</w:t>
      </w:r>
      <w:r w:rsidRPr="00D96CD9">
        <w:rPr>
          <w:rFonts w:ascii="Times New Roman" w:hAnsi="Times New Roman" w:cs="Times New Roman"/>
          <w:sz w:val="28"/>
          <w:szCs w:val="28"/>
        </w:rPr>
        <w:t xml:space="preserve">  (Якимівська  </w:t>
      </w:r>
      <w:r w:rsidR="002761B7" w:rsidRPr="00D96CD9">
        <w:rPr>
          <w:rFonts w:ascii="Times New Roman" w:hAnsi="Times New Roman" w:cs="Times New Roman"/>
          <w:sz w:val="28"/>
          <w:szCs w:val="28"/>
        </w:rPr>
        <w:t>гімназія</w:t>
      </w:r>
      <w:r w:rsidRPr="00D96CD9">
        <w:rPr>
          <w:rFonts w:ascii="Times New Roman" w:hAnsi="Times New Roman" w:cs="Times New Roman"/>
          <w:sz w:val="28"/>
          <w:szCs w:val="28"/>
        </w:rPr>
        <w:t xml:space="preserve">),  </w:t>
      </w:r>
      <w:r w:rsidR="002761B7" w:rsidRPr="00D96CD9">
        <w:rPr>
          <w:rFonts w:ascii="Times New Roman" w:hAnsi="Times New Roman" w:cs="Times New Roman"/>
          <w:sz w:val="28"/>
          <w:szCs w:val="28"/>
        </w:rPr>
        <w:t>Євсюкова Т</w:t>
      </w:r>
      <w:r w:rsidRPr="00D96CD9">
        <w:rPr>
          <w:rFonts w:ascii="Times New Roman" w:hAnsi="Times New Roman" w:cs="Times New Roman"/>
          <w:sz w:val="28"/>
          <w:szCs w:val="28"/>
        </w:rPr>
        <w:t>.</w:t>
      </w:r>
      <w:r w:rsidR="002761B7" w:rsidRPr="00D96CD9">
        <w:rPr>
          <w:rFonts w:ascii="Times New Roman" w:hAnsi="Times New Roman" w:cs="Times New Roman"/>
          <w:sz w:val="28"/>
          <w:szCs w:val="28"/>
        </w:rPr>
        <w:t>В.</w:t>
      </w:r>
      <w:r w:rsidRPr="00D96CD9">
        <w:rPr>
          <w:rFonts w:ascii="Times New Roman" w:hAnsi="Times New Roman" w:cs="Times New Roman"/>
          <w:sz w:val="28"/>
          <w:szCs w:val="28"/>
        </w:rPr>
        <w:t xml:space="preserve">  (</w:t>
      </w:r>
      <w:r w:rsidR="002761B7" w:rsidRPr="00D96CD9">
        <w:rPr>
          <w:rFonts w:ascii="Times New Roman" w:hAnsi="Times New Roman" w:cs="Times New Roman"/>
          <w:sz w:val="28"/>
          <w:szCs w:val="28"/>
        </w:rPr>
        <w:t>Новоданилівська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ЗОШ),  </w:t>
      </w:r>
      <w:r w:rsidR="002761B7" w:rsidRPr="00D96CD9">
        <w:rPr>
          <w:rFonts w:ascii="Times New Roman" w:hAnsi="Times New Roman" w:cs="Times New Roman"/>
          <w:sz w:val="28"/>
          <w:szCs w:val="28"/>
        </w:rPr>
        <w:t>Пахнич С.В.</w:t>
      </w:r>
      <w:r w:rsidRPr="00D96CD9">
        <w:rPr>
          <w:rFonts w:ascii="Times New Roman" w:hAnsi="Times New Roman" w:cs="Times New Roman"/>
          <w:sz w:val="28"/>
          <w:szCs w:val="28"/>
        </w:rPr>
        <w:t xml:space="preserve"> (</w:t>
      </w:r>
      <w:r w:rsidR="002761B7" w:rsidRPr="00D96CD9">
        <w:rPr>
          <w:rFonts w:ascii="Times New Roman" w:hAnsi="Times New Roman" w:cs="Times New Roman"/>
          <w:sz w:val="28"/>
          <w:szCs w:val="28"/>
        </w:rPr>
        <w:t xml:space="preserve">Новоданилівська </w:t>
      </w:r>
      <w:r w:rsidRPr="00D96CD9">
        <w:rPr>
          <w:rFonts w:ascii="Times New Roman" w:hAnsi="Times New Roman" w:cs="Times New Roman"/>
          <w:sz w:val="28"/>
          <w:szCs w:val="28"/>
        </w:rPr>
        <w:t>ЗОШ)</w:t>
      </w:r>
      <w:r w:rsidR="00677CEE">
        <w:rPr>
          <w:rFonts w:ascii="Times New Roman" w:hAnsi="Times New Roman" w:cs="Times New Roman"/>
          <w:sz w:val="28"/>
          <w:szCs w:val="28"/>
        </w:rPr>
        <w:t>, Сокол  Л.Г.  (Радивонівська  ЗОШ),  Романенко  Л.Г.  (Якимівська  ЗОШ  № 2),  Простак  О.В.  (Шелюгівська  ЗОШ)</w:t>
      </w:r>
    </w:p>
    <w:p w:rsidR="00A97ED7" w:rsidRPr="00D96CD9" w:rsidRDefault="00A97ED7" w:rsidP="00677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 В  20</w:t>
      </w:r>
      <w:r w:rsidR="002761B7" w:rsidRPr="00D96CD9">
        <w:rPr>
          <w:rFonts w:ascii="Times New Roman" w:hAnsi="Times New Roman" w:cs="Times New Roman"/>
          <w:sz w:val="28"/>
          <w:szCs w:val="28"/>
        </w:rPr>
        <w:t>10</w:t>
      </w:r>
      <w:r w:rsidRPr="00D96CD9">
        <w:rPr>
          <w:rFonts w:ascii="Times New Roman" w:hAnsi="Times New Roman" w:cs="Times New Roman"/>
          <w:sz w:val="28"/>
          <w:szCs w:val="28"/>
        </w:rPr>
        <w:t>-201</w:t>
      </w:r>
      <w:r w:rsidR="002761B7" w:rsidRPr="00D96CD9">
        <w:rPr>
          <w:rFonts w:ascii="Times New Roman" w:hAnsi="Times New Roman" w:cs="Times New Roman"/>
          <w:sz w:val="28"/>
          <w:szCs w:val="28"/>
        </w:rPr>
        <w:t>1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навчальному  році  атестовано  </w:t>
      </w:r>
      <w:r w:rsidR="009B0DD1">
        <w:rPr>
          <w:rFonts w:ascii="Times New Roman" w:hAnsi="Times New Roman" w:cs="Times New Roman"/>
          <w:sz w:val="28"/>
          <w:szCs w:val="28"/>
        </w:rPr>
        <w:t xml:space="preserve">п’ять 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вчителів.  За  результатами  атестації  </w:t>
      </w:r>
      <w:r w:rsidR="00677CEE">
        <w:rPr>
          <w:rFonts w:ascii="Times New Roman" w:hAnsi="Times New Roman" w:cs="Times New Roman"/>
          <w:sz w:val="28"/>
          <w:szCs w:val="28"/>
        </w:rPr>
        <w:t>підтвердили  кваліфікаційну  категорію  два  вчителі:  Ушакова  Т.Д.  -  спеціаліст  вищої  категорії;  Романенко  Л.Г.  – спеціаліст  першої  категорії.</w:t>
      </w:r>
      <w:r w:rsidR="007F7D25">
        <w:rPr>
          <w:rFonts w:ascii="Times New Roman" w:hAnsi="Times New Roman" w:cs="Times New Roman"/>
          <w:sz w:val="28"/>
          <w:szCs w:val="28"/>
        </w:rPr>
        <w:t xml:space="preserve">  Підвищіли   -  три  вчителі:  Поліник  Т.Л.  – спеціаліст  першої  категорії,  Копайло  І.В.,  Переверзєва  О.В. – спеціаліст  другої  категорії.</w:t>
      </w:r>
    </w:p>
    <w:p w:rsidR="002761B7" w:rsidRPr="00D96CD9" w:rsidRDefault="00A97ED7" w:rsidP="00D96CD9">
      <w:pPr>
        <w:spacing w:after="0"/>
        <w:ind w:left="-14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Професійному  росту  вчителів  сприяє  участь  у  різноманітних  конкурсах,    роботі  творчих  груп,  обласних  семінарах.  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lastRenderedPageBreak/>
        <w:t xml:space="preserve">      В  обласному  семінарі  «Педагогічна  підтримка  розвитку  творчих здібностей і  обдарованості  школярів  в  процесі  навчання  хімії»  на  базі  Запорізького  НВК  № 20  екологічного  профілю взяла  участь  Пахнич  С.В.  (Новоданилівська  ЗОШ).  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В  період  між  засіданнями  </w:t>
      </w:r>
      <w:r w:rsidR="002761B7" w:rsidRPr="00D96CD9">
        <w:rPr>
          <w:rFonts w:ascii="Times New Roman" w:hAnsi="Times New Roman" w:cs="Times New Roman"/>
          <w:sz w:val="28"/>
          <w:szCs w:val="28"/>
        </w:rPr>
        <w:t>Р</w:t>
      </w:r>
      <w:r w:rsidRPr="00D96CD9">
        <w:rPr>
          <w:rFonts w:ascii="Times New Roman" w:hAnsi="Times New Roman" w:cs="Times New Roman"/>
          <w:sz w:val="28"/>
          <w:szCs w:val="28"/>
        </w:rPr>
        <w:t xml:space="preserve">МО  вчителі  організовували  роботу  з  підготовки  учнів  до  участі  у  районному  конкурсі – захисті  реферативних  робіт  (  додаток  № 1).   </w:t>
      </w:r>
    </w:p>
    <w:p w:rsidR="002761B7" w:rsidRPr="00D96CD9" w:rsidRDefault="002761B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ED7" w:rsidRPr="00D96CD9">
        <w:rPr>
          <w:rFonts w:ascii="Times New Roman" w:hAnsi="Times New Roman" w:cs="Times New Roman"/>
          <w:sz w:val="28"/>
          <w:szCs w:val="28"/>
        </w:rPr>
        <w:t xml:space="preserve"> Переможцем  конкурсу – захисту  реферативних  робіт  визнано</w:t>
      </w:r>
      <w:r w:rsidRPr="00D96CD9">
        <w:rPr>
          <w:rFonts w:ascii="Times New Roman" w:hAnsi="Times New Roman" w:cs="Times New Roman"/>
          <w:sz w:val="28"/>
          <w:szCs w:val="28"/>
        </w:rPr>
        <w:t xml:space="preserve">  Березінську  Вікторію  (І місце)  ученицю  9 класу  Якимівської гімназії  керівник  Любайкіна  О.О..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     До  конкурсу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– захисту   реферативних   робіт  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 xml:space="preserve">в  цьому навчальному році   підготували учнів лише  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вчителі    Любайкіна  О.О.  (Якимівська  гімназія),  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D96CD9">
        <w:rPr>
          <w:rFonts w:ascii="Times New Roman" w:eastAsia="Calibri" w:hAnsi="Times New Roman" w:cs="Times New Roman"/>
          <w:sz w:val="28"/>
          <w:szCs w:val="28"/>
        </w:rPr>
        <w:t>Зубков  С.В.  (Переможненська  ЗОШ).  Решта  шкіл  (1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>9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шкіл, 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 xml:space="preserve">90 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% )  участі  в  цьому  конкурсі не  брали.  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       У  районному  етапі  учнівських  олімпіад  з  хімії  змагались  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учнів  із 1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шкіл  району  (7</w:t>
      </w:r>
      <w:r w:rsidR="0061256B" w:rsidRPr="00D96C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>%)  (додаток  № 2) .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Це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нижчий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показник  порівняно  з  20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н.р.  (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учнів  проти  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>,  з  1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шкіл (7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>%)  проти  1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="00130656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79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%),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зменшення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на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%).   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      Учениця  1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класу 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Якимівської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ЗОШ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Гришнюк  Ольга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 xml:space="preserve"> (вчитель  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лапіна Г.Ф</w:t>
      </w:r>
      <w:r w:rsidRPr="00D96CD9">
        <w:rPr>
          <w:rFonts w:ascii="Times New Roman" w:hAnsi="Times New Roman" w:cs="Times New Roman"/>
          <w:sz w:val="28"/>
          <w:szCs w:val="28"/>
          <w:lang w:eastAsia="ru-RU"/>
        </w:rPr>
        <w:t>.)  посіла   ІІІ  місце   за  результатами  ІІ етапу олімпіади</w:t>
      </w:r>
      <w:r w:rsidR="00FF5C8A" w:rsidRPr="00D96C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Не  підготували  учнів до  участі  у  районному  етапі  предметної  олімпіади  вчителі:  Макаров  Д.Ю. (Володимирівська ЗОШ ), Козлов  М.О. (Горьківська  ЗОШ   та  Петрівська  ЗОШ ),  Переверзєва  О.В. (Ленінська  ЗОШ  ),  Алімкін  С.В. (Розівська  ЗОШ).</w:t>
      </w:r>
    </w:p>
    <w:p w:rsidR="00A97ED7" w:rsidRPr="00D96CD9" w:rsidRDefault="00A97ED7" w:rsidP="00D96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D9">
        <w:rPr>
          <w:rFonts w:ascii="Times New Roman" w:eastAsia="Calibri" w:hAnsi="Times New Roman" w:cs="Times New Roman"/>
          <w:sz w:val="28"/>
          <w:szCs w:val="28"/>
        </w:rPr>
        <w:t>Результативність  участі  школярів  в  інтелектуальних  змаганнях  залишається  низькою,  що пояснюється  низкою  недоліків,  які  мають  місце  у  викладанні  предмету  та  підготовці   учнів до інтелектуальних  змагань.  А  саме:</w:t>
      </w:r>
    </w:p>
    <w:p w:rsidR="00A97ED7" w:rsidRPr="00D96CD9" w:rsidRDefault="00A97ED7" w:rsidP="00D96CD9">
      <w:pPr>
        <w:numPr>
          <w:ilvl w:val="0"/>
          <w:numId w:val="10"/>
        </w:numPr>
        <w:tabs>
          <w:tab w:val="num" w:pos="900"/>
        </w:tabs>
        <w:spacing w:after="0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відсутні  індивідуальні  програми  для  підготовки  учнів  до  участі  в  предметних  олімпіадах І-ІІІ  етапів,</w:t>
      </w:r>
    </w:p>
    <w:p w:rsidR="00A97ED7" w:rsidRPr="00D96CD9" w:rsidRDefault="00A97ED7" w:rsidP="00D96CD9">
      <w:pPr>
        <w:numPr>
          <w:ilvl w:val="0"/>
          <w:numId w:val="10"/>
        </w:numPr>
        <w:tabs>
          <w:tab w:val="num" w:pos="900"/>
        </w:tabs>
        <w:spacing w:after="0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sz w:val="28"/>
          <w:szCs w:val="28"/>
        </w:rPr>
        <w:t>знизилась активність учителів як керівників щодо участі в конкурсі-захисту реферативних та наукових робіт МАН,  районних, обласних інтелектуальних конкурсах, олімпіадах,</w:t>
      </w:r>
    </w:p>
    <w:p w:rsidR="00A97ED7" w:rsidRPr="00D96CD9" w:rsidRDefault="00A97ED7" w:rsidP="00D96CD9">
      <w:pPr>
        <w:numPr>
          <w:ilvl w:val="0"/>
          <w:numId w:val="10"/>
        </w:numPr>
        <w:tabs>
          <w:tab w:val="num" w:pos="900"/>
        </w:tabs>
        <w:spacing w:after="0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вчителі  вищої  категорії  і  з  педагогічним  званням проявляють  пасивність  та  не  спонукають  учнів  до дослідницької  та  проектної  діяльності,</w:t>
      </w:r>
    </w:p>
    <w:p w:rsidR="00A97ED7" w:rsidRPr="00D96CD9" w:rsidRDefault="00A97ED7" w:rsidP="00D96CD9">
      <w:pPr>
        <w:numPr>
          <w:ilvl w:val="0"/>
          <w:numId w:val="10"/>
        </w:numPr>
        <w:tabs>
          <w:tab w:val="num" w:pos="900"/>
        </w:tabs>
        <w:spacing w:after="0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інтерес  до  предмету  знижується  також  через  відсутність  належної  матеріальної  бази  діючих  кабінетів  хімії,</w:t>
      </w:r>
    </w:p>
    <w:p w:rsidR="00A97ED7" w:rsidRPr="00D96CD9" w:rsidRDefault="00A97ED7" w:rsidP="00D96CD9">
      <w:pPr>
        <w:numPr>
          <w:ilvl w:val="0"/>
          <w:numId w:val="10"/>
        </w:numPr>
        <w:tabs>
          <w:tab w:val="num" w:pos="900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недостатньо  використовується  комп’ютерне  програмне  забезпечення  та  інноваційні  технології,</w:t>
      </w:r>
    </w:p>
    <w:p w:rsidR="00A97ED7" w:rsidRPr="00D96CD9" w:rsidRDefault="00A97ED7" w:rsidP="00D96CD9">
      <w:pPr>
        <w:pStyle w:val="3"/>
        <w:numPr>
          <w:ilvl w:val="0"/>
          <w:numId w:val="10"/>
        </w:numPr>
        <w:tabs>
          <w:tab w:val="clear" w:pos="1440"/>
          <w:tab w:val="num" w:pos="993"/>
        </w:tabs>
        <w:spacing w:line="276" w:lineRule="auto"/>
        <w:ind w:left="993" w:hanging="426"/>
        <w:rPr>
          <w:szCs w:val="28"/>
        </w:rPr>
      </w:pPr>
      <w:r w:rsidRPr="00D96CD9">
        <w:rPr>
          <w:szCs w:val="28"/>
        </w:rPr>
        <w:lastRenderedPageBreak/>
        <w:t>недостатньо використовуються інтерактивні методи навчання   та  ІКТ  на уроках хімії.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ED7" w:rsidRPr="00D96CD9" w:rsidRDefault="00A97ED7" w:rsidP="00D96C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        В  наступному  навчальному  році  (201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>1</w:t>
      </w:r>
      <w:r w:rsidRPr="00D96CD9">
        <w:rPr>
          <w:rFonts w:ascii="Times New Roman" w:eastAsia="Calibri" w:hAnsi="Times New Roman" w:cs="Times New Roman"/>
          <w:sz w:val="28"/>
          <w:szCs w:val="28"/>
        </w:rPr>
        <w:t>-201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>2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н.р.)  РМО  вчителів  хімії  продовжить  роботу  над реалізацією  методичної  теми  району  «Науково – методичне  та  психолого – педагогічне  забезпечення  впровадження  ІКТ як  умова  індивідуального  розвитку та  самовдосконалення  учнів», та  зосередить  увагу  на  вирішенні  таких  завдань:</w:t>
      </w:r>
      <w:r w:rsidRPr="00D9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D7" w:rsidRPr="00D96CD9" w:rsidRDefault="00A97ED7" w:rsidP="00D96CD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продовжити  роботу  щодо  впровадження  інтерактивних   та  ІКТ технологій  в  систему  роботи  вчителів,  </w:t>
      </w:r>
    </w:p>
    <w:p w:rsidR="00A97ED7" w:rsidRPr="00D96CD9" w:rsidRDefault="00A97ED7" w:rsidP="00D96CD9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розроб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>ити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 програми  роботи  з  обдарованими  учнями,     з  урахуванням  особистості  учнів,  залучати  вчителів  до організації  науково – дослідницької  діяльності, </w:t>
      </w:r>
    </w:p>
    <w:p w:rsidR="00A97ED7" w:rsidRPr="00D96CD9" w:rsidRDefault="00A97ED7" w:rsidP="00D96CD9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поширювати  передовий  педагогічний  досвід  вчителів області та  району, відвідувати  заняття,  виховні  заходи  вчителів  вищої  категорії ,  вчителів І  категорії,  для  підвищення професійної  майстерності,</w:t>
      </w:r>
    </w:p>
    <w:p w:rsidR="00A97ED7" w:rsidRPr="00D96CD9" w:rsidRDefault="00A97ED7" w:rsidP="00D96CD9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організовувати  консультації  щодо  профільного </w:t>
      </w:r>
      <w:r w:rsidR="007E4EBE" w:rsidRPr="00D96CD9">
        <w:rPr>
          <w:rFonts w:ascii="Times New Roman" w:eastAsia="Calibri" w:hAnsi="Times New Roman" w:cs="Times New Roman"/>
          <w:sz w:val="28"/>
          <w:szCs w:val="28"/>
        </w:rPr>
        <w:t>та допрофільного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навчання,</w:t>
      </w:r>
    </w:p>
    <w:p w:rsidR="00D96CD9" w:rsidRPr="00D96CD9" w:rsidRDefault="00D96CD9" w:rsidP="00D96CD9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eastAsia="Calibri" w:hAnsi="Times New Roman" w:cs="Times New Roman"/>
          <w:sz w:val="28"/>
          <w:szCs w:val="28"/>
        </w:rPr>
        <w:t>проводити  семінари з відвідуванням уроків,  наступним  аналізом  і  самоаналізом,</w:t>
      </w:r>
    </w:p>
    <w:p w:rsidR="00D96CD9" w:rsidRPr="00D96CD9" w:rsidRDefault="00D96CD9" w:rsidP="00D96CD9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>підвищувати освітню,  професійну, творчу  компетентністі  вчителів хімії   району  через  участь  в  роботі  РМО  та  самоосвіту,</w:t>
      </w:r>
    </w:p>
    <w:p w:rsidR="00A97ED7" w:rsidRPr="00D96CD9" w:rsidRDefault="00A97ED7" w:rsidP="00D96CD9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вивчати зміст,  технології та методи  педагогічної діяльності з   предмету, </w:t>
      </w:r>
      <w:r w:rsidRPr="00D96C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96CD9">
        <w:rPr>
          <w:rFonts w:ascii="Times New Roman" w:hAnsi="Times New Roman" w:cs="Times New Roman"/>
          <w:sz w:val="28"/>
          <w:szCs w:val="28"/>
        </w:rPr>
        <w:t>використовувати   різноманітні форми проведення РМО для  забезпечення  підвищення   професійного, творчого,   культурного  рівня  вчителя</w:t>
      </w:r>
      <w:r w:rsidR="00D33BE4">
        <w:rPr>
          <w:rFonts w:ascii="Times New Roman" w:hAnsi="Times New Roman" w:cs="Times New Roman"/>
          <w:sz w:val="28"/>
          <w:szCs w:val="28"/>
        </w:rPr>
        <w:t>,</w:t>
      </w:r>
    </w:p>
    <w:p w:rsidR="00D96CD9" w:rsidRPr="00D96CD9" w:rsidRDefault="00D96CD9" w:rsidP="00D96CD9">
      <w:pPr>
        <w:pStyle w:val="a3"/>
        <w:numPr>
          <w:ilvl w:val="0"/>
          <w:numId w:val="12"/>
        </w:numPr>
        <w:shd w:val="clear" w:color="auto" w:fill="FFFFFF"/>
        <w:spacing w:after="0"/>
        <w:ind w:left="709" w:right="-15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CD9">
        <w:rPr>
          <w:rFonts w:ascii="Times New Roman" w:hAnsi="Times New Roman" w:cs="Times New Roman"/>
          <w:color w:val="000000"/>
          <w:sz w:val="28"/>
          <w:szCs w:val="28"/>
        </w:rPr>
        <w:t xml:space="preserve">впровадити  звіти   вчителів  про самоосвіту  та   їх  роботу  на  курсах  підвищення  кваліфікації.  </w:t>
      </w:r>
    </w:p>
    <w:p w:rsidR="00A97ED7" w:rsidRPr="00D96CD9" w:rsidRDefault="00A97ED7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Pr="00D96CD9" w:rsidRDefault="00D96CD9" w:rsidP="00D96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Default="00D96CD9" w:rsidP="00A9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Default="00D96CD9" w:rsidP="00A9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Default="00D96CD9" w:rsidP="00A9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Default="00D96CD9" w:rsidP="00A9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CD9" w:rsidRDefault="00D96CD9" w:rsidP="00A97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ED7" w:rsidRDefault="00A97ED7" w:rsidP="00A97E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Додаток  № 1.</w:t>
      </w:r>
    </w:p>
    <w:tbl>
      <w:tblPr>
        <w:tblpPr w:leftFromText="180" w:rightFromText="180" w:bottomFromText="200" w:vertAnchor="text" w:horzAnchor="margin" w:tblpY="51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492"/>
        <w:gridCol w:w="709"/>
        <w:gridCol w:w="1984"/>
        <w:gridCol w:w="3152"/>
        <w:gridCol w:w="1985"/>
      </w:tblGrid>
      <w:tr w:rsidR="00A97ED7" w:rsidTr="0061256B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РЕФЕРАТИВНІ РОБОТИ</w:t>
            </w:r>
          </w:p>
        </w:tc>
      </w:tr>
      <w:tr w:rsidR="00A97ED7" w:rsidTr="0061256B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A9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D7" w:rsidRDefault="00A97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A97ED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D7" w:rsidRDefault="00A97ED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ED7" w:rsidRDefault="00A97ED7">
            <w:pPr>
              <w:keepNext/>
              <w:spacing w:after="0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A97ED7">
            <w:pPr>
              <w:keepNext/>
              <w:spacing w:after="0"/>
              <w:ind w:left="7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D7" w:rsidRDefault="00A97ED7">
            <w:pPr>
              <w:keepNext/>
              <w:spacing w:after="0"/>
              <w:ind w:left="7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A97ED7">
            <w:pPr>
              <w:keepNext/>
              <w:spacing w:after="0"/>
              <w:ind w:left="3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D7" w:rsidRDefault="00A97ED7">
            <w:pPr>
              <w:keepNext/>
              <w:spacing w:after="0"/>
              <w:ind w:left="3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A97ED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ED7" w:rsidRDefault="00A97ED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</w:tr>
      <w:tr w:rsidR="0061256B" w:rsidTr="0061256B">
        <w:trPr>
          <w:trHeight w:val="5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Березінська </w:t>
            </w:r>
          </w:p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Якимівська гімназія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  ховається  за  Е - числами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Любайкіна О.О.</w:t>
            </w:r>
          </w:p>
        </w:tc>
      </w:tr>
      <w:tr w:rsidR="0061256B" w:rsidTr="006125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Гербич</w:t>
            </w:r>
          </w:p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Таміла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Якимівська  гімназія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Спадкові захворювання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Любайкіна О.О.</w:t>
            </w:r>
          </w:p>
        </w:tc>
      </w:tr>
      <w:tr w:rsidR="0061256B" w:rsidTr="006125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Торба Віталій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Переможнен</w:t>
            </w:r>
          </w:p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ська ЗОШ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сухариків на організм людини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С.В.</w:t>
            </w:r>
          </w:p>
        </w:tc>
      </w:tr>
      <w:tr w:rsidR="0061256B" w:rsidTr="0061256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ED7" w:rsidRDefault="00A97ED7" w:rsidP="00A97ED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7ED7" w:rsidRDefault="00A97ED7" w:rsidP="00A97ED7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ED7" w:rsidRDefault="00A97ED7" w:rsidP="00A97ED7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ED7" w:rsidRDefault="00A97ED7" w:rsidP="00A97ED7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ED7" w:rsidRDefault="00A97ED7" w:rsidP="00A97ED7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 № 2. </w:t>
      </w:r>
    </w:p>
    <w:tbl>
      <w:tblPr>
        <w:tblStyle w:val="a4"/>
        <w:tblW w:w="0" w:type="auto"/>
        <w:tblLook w:val="04A0"/>
      </w:tblPr>
      <w:tblGrid>
        <w:gridCol w:w="667"/>
        <w:gridCol w:w="3060"/>
        <w:gridCol w:w="2863"/>
        <w:gridCol w:w="1644"/>
        <w:gridCol w:w="1337"/>
      </w:tblGrid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ЗНЗ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ПІБ вчителя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 учнів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Якимівська гімназія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Любайкіна  О.О.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Якимівська  ЗОШ № 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Полякова Н.М.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Якимівська  ЗОШ  № 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D7" w:rsidRDefault="00FF5C8A" w:rsidP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Лапіна Г.Ф.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F5C8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Якимівська  ЗОШ  № 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Костандова  О.О.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F5C8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Азовська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Толмачова  Л.Є.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Атманайська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Гладка  О.М.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Великотернівська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Ушакова 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7ED7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Вовчанська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Поліник  Т.Л.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D7" w:rsidRDefault="00A97ED7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F5C8A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BF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Новоданилівська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BF2B8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Пахнич  С.В.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F5C8A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736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Охрімівська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736C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Леонтьєва  О. 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F5C8A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A9495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Переможненська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A9495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Зубков С.В.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F5C8A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C764B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Радивонівська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C764B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Сокол  Л.Г.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8A" w:rsidRDefault="00FF5C8A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256B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CA4A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Червоноармійська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CA4AC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Кенц Л.В.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256B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414B9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Чорноземненська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414B9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Герасименко  Л.М.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256B" w:rsidTr="00A97ED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3453D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Шелюгівська  ЗОШ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3453D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Простак А.В.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256B" w:rsidTr="00A97ED7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256B" w:rsidRDefault="0061256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6B" w:rsidRDefault="0061256B" w:rsidP="0061256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</w:tbl>
    <w:p w:rsidR="00A97ED7" w:rsidRDefault="00A97ED7" w:rsidP="00A97ED7">
      <w:pPr>
        <w:tabs>
          <w:tab w:val="left" w:pos="709"/>
          <w:tab w:val="left" w:pos="1843"/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A08" w:rsidRDefault="00AB1A08"/>
    <w:sectPr w:rsidR="00AB1A08" w:rsidSect="0013638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99" w:rsidRDefault="00076399" w:rsidP="00D96CD9">
      <w:pPr>
        <w:spacing w:after="0" w:line="240" w:lineRule="auto"/>
      </w:pPr>
      <w:r>
        <w:separator/>
      </w:r>
    </w:p>
  </w:endnote>
  <w:endnote w:type="continuationSeparator" w:id="0">
    <w:p w:rsidR="00076399" w:rsidRDefault="00076399" w:rsidP="00D9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157"/>
      <w:docPartObj>
        <w:docPartGallery w:val="Page Numbers (Bottom of Page)"/>
        <w:docPartUnique/>
      </w:docPartObj>
    </w:sdtPr>
    <w:sdtContent>
      <w:p w:rsidR="00D96CD9" w:rsidRDefault="00C557C2">
        <w:pPr>
          <w:pStyle w:val="a9"/>
          <w:jc w:val="right"/>
        </w:pPr>
        <w:fldSimple w:instr=" PAGE   \* MERGEFORMAT ">
          <w:r w:rsidR="007F7D25">
            <w:rPr>
              <w:noProof/>
            </w:rPr>
            <w:t>6</w:t>
          </w:r>
        </w:fldSimple>
      </w:p>
    </w:sdtContent>
  </w:sdt>
  <w:p w:rsidR="00D96CD9" w:rsidRDefault="00D96C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99" w:rsidRDefault="00076399" w:rsidP="00D96CD9">
      <w:pPr>
        <w:spacing w:after="0" w:line="240" w:lineRule="auto"/>
      </w:pPr>
      <w:r>
        <w:separator/>
      </w:r>
    </w:p>
  </w:footnote>
  <w:footnote w:type="continuationSeparator" w:id="0">
    <w:p w:rsidR="00076399" w:rsidRDefault="00076399" w:rsidP="00D9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641"/>
    <w:multiLevelType w:val="hybridMultilevel"/>
    <w:tmpl w:val="65FA88D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62E"/>
    <w:multiLevelType w:val="hybridMultilevel"/>
    <w:tmpl w:val="3612A632"/>
    <w:lvl w:ilvl="0" w:tplc="0422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36A"/>
    <w:multiLevelType w:val="singleLevel"/>
    <w:tmpl w:val="0422000D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3">
    <w:nsid w:val="1E2C3FC1"/>
    <w:multiLevelType w:val="hybridMultilevel"/>
    <w:tmpl w:val="1E363E18"/>
    <w:lvl w:ilvl="0" w:tplc="0422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C3C6C"/>
    <w:multiLevelType w:val="hybridMultilevel"/>
    <w:tmpl w:val="96DAC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B7749"/>
    <w:multiLevelType w:val="hybridMultilevel"/>
    <w:tmpl w:val="ABB84476"/>
    <w:lvl w:ilvl="0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4795D"/>
    <w:multiLevelType w:val="hybridMultilevel"/>
    <w:tmpl w:val="87FAEFB8"/>
    <w:lvl w:ilvl="0" w:tplc="0422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B1481"/>
    <w:multiLevelType w:val="hybridMultilevel"/>
    <w:tmpl w:val="79D0AA24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5B2B"/>
    <w:multiLevelType w:val="hybridMultilevel"/>
    <w:tmpl w:val="923EBD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41A6026"/>
    <w:multiLevelType w:val="hybridMultilevel"/>
    <w:tmpl w:val="5FBABD98"/>
    <w:lvl w:ilvl="0" w:tplc="6EAEA5C8">
      <w:start w:val="1"/>
      <w:numFmt w:val="bullet"/>
      <w:lvlText w:val="-"/>
      <w:lvlJc w:val="left"/>
      <w:pPr>
        <w:ind w:left="720" w:hanging="360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95D18"/>
    <w:multiLevelType w:val="hybridMultilevel"/>
    <w:tmpl w:val="562ADEB6"/>
    <w:lvl w:ilvl="0" w:tplc="95A0B898">
      <w:start w:val="3"/>
      <w:numFmt w:val="decimal"/>
      <w:lvlText w:val="%1."/>
      <w:lvlJc w:val="left"/>
      <w:pPr>
        <w:ind w:left="585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54BFD"/>
    <w:multiLevelType w:val="hybridMultilevel"/>
    <w:tmpl w:val="C8422AF8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961EB"/>
    <w:multiLevelType w:val="hybridMultilevel"/>
    <w:tmpl w:val="626C5D9E"/>
    <w:lvl w:ilvl="0" w:tplc="0422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D7"/>
    <w:rsid w:val="00076399"/>
    <w:rsid w:val="00090796"/>
    <w:rsid w:val="00130656"/>
    <w:rsid w:val="00136381"/>
    <w:rsid w:val="001E7CFF"/>
    <w:rsid w:val="002761B7"/>
    <w:rsid w:val="002936CF"/>
    <w:rsid w:val="002F256C"/>
    <w:rsid w:val="00356EEF"/>
    <w:rsid w:val="0047200D"/>
    <w:rsid w:val="0048093B"/>
    <w:rsid w:val="0050382F"/>
    <w:rsid w:val="0051106A"/>
    <w:rsid w:val="00572BB4"/>
    <w:rsid w:val="0061256B"/>
    <w:rsid w:val="00677CEE"/>
    <w:rsid w:val="006A113E"/>
    <w:rsid w:val="00796BF8"/>
    <w:rsid w:val="007E4EBE"/>
    <w:rsid w:val="007F754B"/>
    <w:rsid w:val="007F7D25"/>
    <w:rsid w:val="00907A63"/>
    <w:rsid w:val="0099789B"/>
    <w:rsid w:val="009B0DD1"/>
    <w:rsid w:val="009B31B0"/>
    <w:rsid w:val="009C473A"/>
    <w:rsid w:val="00A97ED7"/>
    <w:rsid w:val="00AB1A08"/>
    <w:rsid w:val="00B30F75"/>
    <w:rsid w:val="00BC1333"/>
    <w:rsid w:val="00BE748D"/>
    <w:rsid w:val="00C557C2"/>
    <w:rsid w:val="00CC123F"/>
    <w:rsid w:val="00D33BE4"/>
    <w:rsid w:val="00D96CD9"/>
    <w:rsid w:val="00E47AF4"/>
    <w:rsid w:val="00E617A4"/>
    <w:rsid w:val="00F3630B"/>
    <w:rsid w:val="00F72FE0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97ED7"/>
    <w:pPr>
      <w:tabs>
        <w:tab w:val="left" w:pos="1980"/>
        <w:tab w:val="left" w:pos="2880"/>
        <w:tab w:val="left" w:pos="3960"/>
      </w:tabs>
      <w:spacing w:after="0" w:line="240" w:lineRule="auto"/>
      <w:ind w:left="-360" w:firstLine="180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A97E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A97ED7"/>
    <w:pPr>
      <w:ind w:left="720"/>
      <w:contextualSpacing/>
    </w:pPr>
  </w:style>
  <w:style w:type="table" w:styleId="a4">
    <w:name w:val="Table Grid"/>
    <w:basedOn w:val="a1"/>
    <w:rsid w:val="00A9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3E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D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CD9"/>
    <w:rPr>
      <w:lang w:val="uk-UA"/>
    </w:rPr>
  </w:style>
  <w:style w:type="paragraph" w:styleId="a9">
    <w:name w:val="footer"/>
    <w:basedOn w:val="a"/>
    <w:link w:val="aa"/>
    <w:uiPriority w:val="99"/>
    <w:unhideWhenUsed/>
    <w:rsid w:val="00D9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CD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7217847769028893E-2"/>
          <c:y val="0"/>
          <c:w val="0.67883992112926184"/>
          <c:h val="0.86520947176684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І категорія</c:v>
                </c:pt>
                <c:pt idx="1">
                  <c:v>ІІ категорія</c:v>
                </c:pt>
                <c:pt idx="2">
                  <c:v>спеціаліст</c:v>
                </c:pt>
                <c:pt idx="3">
                  <c:v>незак вища освіта</c:v>
                </c:pt>
                <c:pt idx="4">
                  <c:v>вища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0.44000000000000017</c:v>
                </c:pt>
                <c:pt idx="1">
                  <c:v>0.19000000000000009</c:v>
                </c:pt>
                <c:pt idx="2">
                  <c:v>0.22000000000000008</c:v>
                </c:pt>
                <c:pt idx="3">
                  <c:v>4.0000000000000056E-2</c:v>
                </c:pt>
                <c:pt idx="4">
                  <c:v>0.11000000000000004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І категорія</c:v>
                </c:pt>
                <c:pt idx="1">
                  <c:v>ІІ категорія</c:v>
                </c:pt>
                <c:pt idx="2">
                  <c:v>спеціаліст</c:v>
                </c:pt>
                <c:pt idx="3">
                  <c:v>незак вища освіта</c:v>
                </c:pt>
                <c:pt idx="4">
                  <c:v>вища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6857723630317591"/>
          <c:y val="0.6868562741132781"/>
          <c:w val="0.41753385304448887"/>
          <c:h val="0.3120798015002229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2011-08-29T08:00:00Z</cp:lastPrinted>
  <dcterms:created xsi:type="dcterms:W3CDTF">2011-05-23T13:29:00Z</dcterms:created>
  <dcterms:modified xsi:type="dcterms:W3CDTF">2011-08-29T08:00:00Z</dcterms:modified>
</cp:coreProperties>
</file>