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24" w:rsidRPr="002938F8" w:rsidRDefault="00E71A24" w:rsidP="00E71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38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Аналіз роботи</w:t>
      </w:r>
    </w:p>
    <w:p w:rsidR="00E71A24" w:rsidRPr="002938F8" w:rsidRDefault="00E71A24" w:rsidP="00E71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38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районного методичного об’єднання вчителів хімії </w:t>
      </w:r>
    </w:p>
    <w:p w:rsidR="00E71A24" w:rsidRPr="002938F8" w:rsidRDefault="00E71A24" w:rsidP="00E71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38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201</w:t>
      </w:r>
      <w:r w:rsidR="00F825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 – </w:t>
      </w:r>
      <w:r w:rsidRPr="002938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</w:t>
      </w:r>
      <w:r w:rsidR="00F825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 </w:t>
      </w:r>
      <w:r w:rsidRPr="002938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навчальному році.</w:t>
      </w:r>
    </w:p>
    <w:p w:rsidR="00F82583" w:rsidRDefault="00F82583" w:rsidP="00E71A24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val="uk-UA" w:eastAsia="ru-RU"/>
        </w:rPr>
      </w:pPr>
    </w:p>
    <w:p w:rsidR="00E71A24" w:rsidRPr="00E71A24" w:rsidRDefault="00E71A24" w:rsidP="00E71A24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val="uk-UA" w:eastAsia="ru-RU"/>
        </w:rPr>
      </w:pPr>
      <w:r w:rsidRPr="00E71A24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val="uk-UA" w:eastAsia="ru-RU"/>
        </w:rPr>
        <w:t xml:space="preserve">«Уся освітня діяльність вимагає існування суб’єктів, </w:t>
      </w:r>
    </w:p>
    <w:p w:rsidR="00E71A24" w:rsidRPr="00E71A24" w:rsidRDefault="00E71A24" w:rsidP="00E71A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E71A24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val="uk-UA" w:eastAsia="ru-RU"/>
        </w:rPr>
        <w:t xml:space="preserve">                                                   які, навчаючи</w:t>
      </w:r>
      <w:r w:rsidR="0068418F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val="uk-UA" w:eastAsia="ru-RU"/>
        </w:rPr>
        <w:t xml:space="preserve"> </w:t>
      </w:r>
      <w:r w:rsidRPr="00E71A24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val="uk-UA" w:eastAsia="ru-RU"/>
        </w:rPr>
        <w:t xml:space="preserve"> інших, </w:t>
      </w:r>
      <w:r w:rsidR="0068418F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val="uk-UA" w:eastAsia="ru-RU"/>
        </w:rPr>
        <w:t xml:space="preserve"> </w:t>
      </w:r>
      <w:r w:rsidRPr="00E71A24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val="uk-UA" w:eastAsia="ru-RU"/>
        </w:rPr>
        <w:t>навчаються</w:t>
      </w:r>
      <w:r w:rsidR="0068418F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val="uk-UA" w:eastAsia="ru-RU"/>
        </w:rPr>
        <w:t xml:space="preserve"> </w:t>
      </w:r>
      <w:r w:rsidRPr="00E71A24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val="uk-UA" w:eastAsia="ru-RU"/>
        </w:rPr>
        <w:t xml:space="preserve"> самі»</w:t>
      </w:r>
      <w:r w:rsidRPr="00E71A24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val="uk-UA" w:eastAsia="ru-RU"/>
        </w:rPr>
        <w:tab/>
      </w:r>
      <w:r w:rsidRPr="00E71A2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Pr="00E71A2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  <w:t xml:space="preserve">   </w:t>
      </w:r>
      <w:r w:rsidRPr="00E71A2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Pr="00E71A2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  <w:t xml:space="preserve">  </w:t>
      </w:r>
      <w:r w:rsidRPr="00E71A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П. </w:t>
      </w:r>
      <w:proofErr w:type="spellStart"/>
      <w:r w:rsidRPr="00E71A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Фрейре</w:t>
      </w:r>
      <w:proofErr w:type="spellEnd"/>
    </w:p>
    <w:p w:rsidR="00E71A24" w:rsidRPr="002938F8" w:rsidRDefault="00E71A24" w:rsidP="00E71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1A24" w:rsidRPr="002938F8" w:rsidRDefault="00E71A24" w:rsidP="00E71A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38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Методичне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обʹєднання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вчителів  хімії   у  201</w:t>
      </w:r>
      <w:r w:rsidR="00F82583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201</w:t>
      </w:r>
      <w:r w:rsidR="00F82583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поєднувало</w:t>
      </w: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2</w:t>
      </w:r>
      <w:r w:rsidR="00F82583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вчителі  району.  З  них:</w:t>
      </w:r>
    </w:p>
    <w:p w:rsidR="00E71A24" w:rsidRPr="002938F8" w:rsidRDefault="00F82583" w:rsidP="00E71A2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E71A24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вчителів  мають  кваліфікаційну    категорію  - «спеціаліст  вищої  категорії» 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21</w:t>
      </w:r>
      <w:r w:rsidR="00E71A24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%),</w:t>
      </w:r>
    </w:p>
    <w:p w:rsidR="00E71A24" w:rsidRPr="002938F8" w:rsidRDefault="00E71A24" w:rsidP="00E71A2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F82583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вчителів    - «спеціаліст  першої  категорії»  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F82583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%), </w:t>
      </w:r>
    </w:p>
    <w:p w:rsidR="00E71A24" w:rsidRPr="002938F8" w:rsidRDefault="00F82583" w:rsidP="00E71A2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E71A24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вчителів  -  «спеціаліст  другої  категорії»  (</w:t>
      </w:r>
      <w:r w:rsidR="00B37A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25 </w:t>
      </w:r>
      <w:r w:rsidR="00E71A24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%),</w:t>
      </w:r>
    </w:p>
    <w:p w:rsidR="00E71A24" w:rsidRPr="002938F8" w:rsidRDefault="00F82583" w:rsidP="00E71A2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E71A24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вчителі – категорію «спеціаліст» (1</w:t>
      </w:r>
      <w:r w:rsidR="00E71A24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E71A24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%)</w:t>
      </w:r>
    </w:p>
    <w:p w:rsidR="00E71A24" w:rsidRPr="002938F8" w:rsidRDefault="00E71A24" w:rsidP="00E71A24">
      <w:pPr>
        <w:numPr>
          <w:ilvl w:val="0"/>
          <w:numId w:val="1"/>
        </w:numPr>
        <w:shd w:val="clear" w:color="auto" w:fill="FFFFFF"/>
        <w:spacing w:after="0"/>
        <w:ind w:right="-1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2 вчителі  (8</w:t>
      </w:r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%)  мають  педагогічне  звання   «Старший вчитель»  -    </w:t>
      </w:r>
    </w:p>
    <w:p w:rsidR="00E71A24" w:rsidRPr="002938F8" w:rsidRDefault="00E71A24" w:rsidP="00E71A24">
      <w:pPr>
        <w:shd w:val="clear" w:color="auto" w:fill="FFFFFF"/>
        <w:spacing w:after="0"/>
        <w:ind w:right="-15" w:firstLine="40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Галак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Р.С.  (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Якимівська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ЗОШ  № 1)  та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Сокол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Л.Г.  (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Радивонівська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ЗОШ).  </w:t>
      </w:r>
    </w:p>
    <w:p w:rsidR="0068418F" w:rsidRDefault="0068418F" w:rsidP="00E71A24">
      <w:pPr>
        <w:shd w:val="clear" w:color="auto" w:fill="FFFFFF"/>
        <w:spacing w:after="0"/>
        <w:ind w:left="-142" w:right="-15" w:firstLine="543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E71A24" w:rsidRDefault="00E71A24" w:rsidP="00E71A24">
      <w:pPr>
        <w:shd w:val="clear" w:color="auto" w:fill="FFFFFF"/>
        <w:spacing w:after="0"/>
        <w:ind w:left="-142" w:right="-15" w:firstLine="543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2938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Кількісно – якісний  склад  вчителів  хімії</w:t>
      </w:r>
    </w:p>
    <w:p w:rsidR="0068418F" w:rsidRDefault="0068418F" w:rsidP="00E71A24">
      <w:pPr>
        <w:shd w:val="clear" w:color="auto" w:fill="FFFFFF"/>
        <w:spacing w:after="0"/>
        <w:ind w:left="-142" w:right="-15" w:firstLine="543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68418F" w:rsidRPr="002938F8" w:rsidRDefault="0068418F" w:rsidP="00E71A24">
      <w:pPr>
        <w:shd w:val="clear" w:color="auto" w:fill="FFFFFF"/>
        <w:spacing w:after="0"/>
        <w:ind w:left="-142" w:right="-15" w:firstLine="543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7F61F094">
            <wp:extent cx="5004000" cy="3111629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37"/>
                    <a:stretch/>
                  </pic:blipFill>
                  <pic:spPr bwMode="auto">
                    <a:xfrm>
                      <a:off x="0" y="0"/>
                      <a:ext cx="5004000" cy="311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1A24" w:rsidRPr="002938F8" w:rsidRDefault="00E71A24" w:rsidP="00E71A24">
      <w:pPr>
        <w:shd w:val="clear" w:color="auto" w:fill="FFFFFF"/>
        <w:spacing w:after="0"/>
        <w:ind w:left="-142" w:right="-15" w:firstLine="543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E71A24" w:rsidRPr="002938F8" w:rsidRDefault="00E71A24" w:rsidP="00E71A24">
      <w:pPr>
        <w:shd w:val="clear" w:color="auto" w:fill="FFFFFF"/>
        <w:spacing w:after="0"/>
        <w:ind w:right="-15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У  20</w:t>
      </w:r>
      <w:r w:rsidRPr="002938F8">
        <w:rPr>
          <w:rFonts w:ascii="Times New Roman" w:eastAsia="Calibri" w:hAnsi="Times New Roman" w:cs="Times New Roman"/>
          <w:sz w:val="28"/>
          <w:szCs w:val="28"/>
        </w:rPr>
        <w:t>1</w:t>
      </w:r>
      <w:r w:rsidR="006841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 </w:t>
      </w: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6841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201</w:t>
      </w:r>
      <w:r w:rsidR="0068418F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навчальному  році  методичне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обʹєднання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вчителів  хімії  </w:t>
      </w:r>
      <w:r w:rsidR="006841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продовжило </w:t>
      </w: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роботу  над    науково - методичною  темою  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Освітня  і  самоосвітня  діяльність  учителя  хімії  в  системі  безперервного  підвищення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інформаційно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педагогічної  компетентності  вчителя  як  умова  розвитку  творчої  особистості  учня</w:t>
      </w: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6841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другий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рік  роботи</w:t>
      </w: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),  яка  випливає  з  науково – методичної  теми  району  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Розвиток  творчої  особистості  учнів  в  умовах  модернізації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виховного  процесу  шляхом  безперервного  підвищення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інформаційно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педагогічної  компетентності  педагогічних  працівників</w:t>
      </w: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  <w:r w:rsidRPr="002938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71A24" w:rsidRPr="002938F8" w:rsidRDefault="00E71A24" w:rsidP="0068418F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</w:t>
      </w:r>
      <w:r w:rsidRPr="002938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Основні  завдання    діяльності   РМО були сформульовані з урахуванням рекомендацій   РМК,  ЗОІППО  та з метою реалізації методичної теми району:</w:t>
      </w:r>
      <w:r w:rsidRPr="00566DF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E71A24" w:rsidRDefault="00E71A24" w:rsidP="0068418F">
      <w:pPr>
        <w:numPr>
          <w:ilvl w:val="0"/>
          <w:numId w:val="2"/>
        </w:numPr>
        <w:shd w:val="clear" w:color="auto" w:fill="FFFFFF"/>
        <w:spacing w:after="0"/>
        <w:ind w:right="-1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938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забезпечувати  виконання   державних вимог щодо рівня хімічної  освіти учнів;</w:t>
      </w:r>
    </w:p>
    <w:p w:rsidR="00E71A24" w:rsidRPr="002938F8" w:rsidRDefault="00E71A24" w:rsidP="00E71A24">
      <w:pPr>
        <w:numPr>
          <w:ilvl w:val="0"/>
          <w:numId w:val="2"/>
        </w:numPr>
        <w:shd w:val="clear" w:color="auto" w:fill="FFFFFF"/>
        <w:spacing w:after="0"/>
        <w:ind w:right="-1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938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підвищувати  творчу,  інформаційну компетентності  вчителів  за рахунок</w:t>
      </w:r>
    </w:p>
    <w:p w:rsidR="00E71A24" w:rsidRPr="002938F8" w:rsidRDefault="00E71A24" w:rsidP="00E71A24">
      <w:pPr>
        <w:shd w:val="clear" w:color="auto" w:fill="FFFFFF"/>
        <w:spacing w:after="0"/>
        <w:ind w:left="1134" w:right="-1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938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впровадження </w:t>
      </w:r>
      <w:proofErr w:type="spellStart"/>
      <w:r w:rsidRPr="002938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компетентнісного</w:t>
      </w:r>
      <w:proofErr w:type="spellEnd"/>
      <w:r w:rsidRPr="002938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підходу в процес викладання хімії ;</w:t>
      </w:r>
    </w:p>
    <w:p w:rsidR="00E71A24" w:rsidRPr="002938F8" w:rsidRDefault="00E71A24" w:rsidP="00E71A24">
      <w:pPr>
        <w:numPr>
          <w:ilvl w:val="0"/>
          <w:numId w:val="2"/>
        </w:numPr>
        <w:shd w:val="clear" w:color="auto" w:fill="FFFFFF"/>
        <w:spacing w:after="0"/>
        <w:ind w:right="-1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938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підвищувати освітню,  професійну </w:t>
      </w:r>
      <w:proofErr w:type="spellStart"/>
      <w:r w:rsidRPr="002938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компетентністі</w:t>
      </w:r>
      <w:proofErr w:type="spellEnd"/>
      <w:r w:rsidRPr="002938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вчителів хімії   району;  </w:t>
      </w:r>
    </w:p>
    <w:p w:rsidR="00E71A24" w:rsidRPr="002938F8" w:rsidRDefault="00E71A24" w:rsidP="00E71A24">
      <w:pPr>
        <w:numPr>
          <w:ilvl w:val="0"/>
          <w:numId w:val="2"/>
        </w:numPr>
        <w:shd w:val="clear" w:color="auto" w:fill="FFFFFF"/>
        <w:spacing w:after="0"/>
        <w:ind w:right="-1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938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організовувати  навчальний  процес,  впроваджуючи  ІКТ  та  інтерактивні  форми  і  методи  навчання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з  метою  підвищення  інформаційно-педагогічної  компетентності  вчителя  як  умова  розвитку  творчої  особистості  учня</w:t>
      </w:r>
      <w:r w:rsidRPr="002938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;</w:t>
      </w:r>
    </w:p>
    <w:p w:rsidR="00E71A24" w:rsidRPr="002938F8" w:rsidRDefault="00E71A24" w:rsidP="00E71A24">
      <w:pPr>
        <w:numPr>
          <w:ilvl w:val="0"/>
          <w:numId w:val="2"/>
        </w:numPr>
        <w:shd w:val="clear" w:color="auto" w:fill="FFFFFF"/>
        <w:spacing w:after="0"/>
        <w:ind w:right="-1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938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забезпечувати   диференційований,   </w:t>
      </w:r>
      <w:proofErr w:type="spellStart"/>
      <w:r w:rsidRPr="002938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допрофільний</w:t>
      </w:r>
      <w:proofErr w:type="spellEnd"/>
      <w:r w:rsidRPr="002938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та   профільний підходи  до навчання;</w:t>
      </w:r>
    </w:p>
    <w:p w:rsidR="00E71A24" w:rsidRPr="002938F8" w:rsidRDefault="00E71A24" w:rsidP="00E71A24">
      <w:pPr>
        <w:numPr>
          <w:ilvl w:val="0"/>
          <w:numId w:val="2"/>
        </w:numPr>
        <w:shd w:val="clear" w:color="auto" w:fill="FFFFFF"/>
        <w:spacing w:after="0"/>
        <w:ind w:right="-1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938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організовувати  експериментальну  діяльність  з  предмету;</w:t>
      </w:r>
    </w:p>
    <w:p w:rsidR="00E71A24" w:rsidRPr="002938F8" w:rsidRDefault="00E71A24" w:rsidP="00E71A24">
      <w:pPr>
        <w:numPr>
          <w:ilvl w:val="0"/>
          <w:numId w:val="2"/>
        </w:numPr>
        <w:shd w:val="clear" w:color="auto" w:fill="FFFFFF"/>
        <w:spacing w:after="0"/>
        <w:ind w:right="-1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938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вивчати,    узагальнювати  та  втілювати  в  практику  роботи  ППД  вчителів  району;</w:t>
      </w:r>
    </w:p>
    <w:p w:rsidR="00E71A24" w:rsidRPr="002938F8" w:rsidRDefault="00E71A24" w:rsidP="00E71A24">
      <w:pPr>
        <w:numPr>
          <w:ilvl w:val="0"/>
          <w:numId w:val="2"/>
        </w:numPr>
        <w:shd w:val="clear" w:color="auto" w:fill="FFFFFF"/>
        <w:spacing w:after="0"/>
        <w:ind w:right="-1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938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організовувати  роботу  з  обдарованими  учнями;</w:t>
      </w:r>
    </w:p>
    <w:p w:rsidR="00E71A24" w:rsidRPr="002938F8" w:rsidRDefault="00E71A24" w:rsidP="00E71A24">
      <w:pPr>
        <w:numPr>
          <w:ilvl w:val="0"/>
          <w:numId w:val="2"/>
        </w:numPr>
        <w:shd w:val="clear" w:color="auto" w:fill="FFFFFF"/>
        <w:spacing w:after="0"/>
        <w:ind w:right="-1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938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впровадити  звіти   вчителів  про самоосвіту  та   їх  роботу  на  курсах  підвищення  кваліфікації;  </w:t>
      </w:r>
    </w:p>
    <w:p w:rsidR="00E71A24" w:rsidRPr="002938F8" w:rsidRDefault="00E71A24" w:rsidP="00E71A24">
      <w:pPr>
        <w:numPr>
          <w:ilvl w:val="0"/>
          <w:numId w:val="2"/>
        </w:numPr>
        <w:shd w:val="clear" w:color="auto" w:fill="FFFFFF"/>
        <w:spacing w:after="0"/>
        <w:ind w:left="993" w:right="-15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938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вдосконалювати   рівень   викладання предмету.</w:t>
      </w:r>
    </w:p>
    <w:p w:rsidR="00C72394" w:rsidRDefault="00E71A24" w:rsidP="00E71A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="00D62D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Діяльність  РМО  вчителів  хімії ,  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роботи</w:t>
      </w:r>
      <w:r w:rsidR="00D62D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</w:t>
      </w:r>
      <w:r w:rsidR="00D62D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</w:t>
      </w:r>
      <w:r w:rsidR="00D62D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ому  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залучені </w:t>
      </w:r>
      <w:r w:rsidR="00D62D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всі</w:t>
      </w:r>
      <w:r w:rsidR="00D62D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вчителі </w:t>
      </w:r>
      <w:r w:rsidR="00D62D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хімії   району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D62D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вказує   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що </w:t>
      </w:r>
      <w:r w:rsidR="00D62D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поряд</w:t>
      </w:r>
      <w:r w:rsidR="00D62D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із </w:t>
      </w:r>
      <w:r w:rsidR="00D62D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традиційними</w:t>
      </w:r>
      <w:r w:rsidR="00D62D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формами </w:t>
      </w:r>
      <w:r w:rsidR="00D62D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проведення засідань </w:t>
      </w:r>
      <w:r w:rsidR="00D62D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РМО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62D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D62D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участю </w:t>
      </w:r>
      <w:r w:rsidR="00C723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D62D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методиста  РМК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D62D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працівників</w:t>
      </w:r>
      <w:r w:rsidR="00D62D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органів </w:t>
      </w:r>
      <w:r w:rsidR="00D62D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управління освітою, адміністрацій загальноосвітніх навчальних закладів практикуються «круглі </w:t>
      </w:r>
      <w:r w:rsidR="00D62D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столи», </w:t>
      </w:r>
      <w:r w:rsidR="00D62D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обговорення  </w:t>
      </w:r>
      <w:proofErr w:type="spellStart"/>
      <w:r w:rsidR="00D62D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відеоуроків</w:t>
      </w:r>
      <w:proofErr w:type="spellEnd"/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D62D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D62D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презентації - 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фестивалі</w:t>
      </w:r>
      <w:r w:rsidR="00D62D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C723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власних </w:t>
      </w:r>
      <w:r w:rsidR="00D62D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знахідок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D62D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творчі </w:t>
      </w:r>
      <w:r w:rsidR="00D62D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звіти</w:t>
      </w:r>
      <w:r w:rsidR="00D62D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вчителів  які  атестуються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D62D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тренінги, </w:t>
      </w:r>
      <w:r w:rsidR="00D62D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проводяться презентації </w:t>
      </w:r>
      <w:r w:rsidR="00C723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</w:t>
      </w:r>
      <w:r w:rsidR="00C723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обговорення</w:t>
      </w:r>
      <w:r w:rsidR="00C723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новинок літератури тощо. </w:t>
      </w:r>
      <w:r w:rsidR="00C723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Активну участь у методичній роботі</w:t>
      </w:r>
      <w:r w:rsidR="00C723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беруть </w:t>
      </w:r>
      <w:r w:rsidR="00C723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в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чителі, </w:t>
      </w:r>
      <w:r w:rsidR="00C723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що мають </w:t>
      </w:r>
      <w:r w:rsidR="00C723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ґрунтовну </w:t>
      </w:r>
      <w:r w:rsidR="00C723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</w:t>
      </w:r>
      <w:r w:rsidR="00C723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C723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теоретичну підготовку, добре володіють методикою викладання </w:t>
      </w:r>
      <w:r w:rsidR="00C723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хімії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забезпечують на належному </w:t>
      </w:r>
      <w:r w:rsidR="00C723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рівні</w:t>
      </w:r>
      <w:r w:rsidR="00C723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засвоєння </w:t>
      </w:r>
      <w:r w:rsidR="00C723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учнями </w:t>
      </w:r>
      <w:r w:rsidR="00C723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матеріалу </w:t>
      </w:r>
      <w:r w:rsidR="00C723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програм,</w:t>
      </w:r>
      <w:r w:rsidR="00C723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готують  своїх  учнів  до  участі   у  Всеукраїнській    учнівській  олімпіаді  з  хімії,  різноманітних  учнівських  конкурсах,  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C723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62D73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саме:</w:t>
      </w:r>
      <w:r w:rsidR="00C723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proofErr w:type="spellStart"/>
      <w:r w:rsidR="00C723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Пахнич</w:t>
      </w:r>
      <w:proofErr w:type="spellEnd"/>
      <w:r w:rsidR="00C723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С.В.,  </w:t>
      </w:r>
      <w:proofErr w:type="spellStart"/>
      <w:r w:rsidR="00C723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Толмачова</w:t>
      </w:r>
      <w:proofErr w:type="spellEnd"/>
      <w:r w:rsidR="00C723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Л.Є.,  Лапіна Г.Ф.,  </w:t>
      </w:r>
      <w:proofErr w:type="spellStart"/>
      <w:r w:rsidR="00C723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Галак</w:t>
      </w:r>
      <w:proofErr w:type="spellEnd"/>
      <w:r w:rsidR="00C723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Р.С.,  </w:t>
      </w:r>
      <w:proofErr w:type="spellStart"/>
      <w:r w:rsidR="00C723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Поліник</w:t>
      </w:r>
      <w:proofErr w:type="spellEnd"/>
      <w:r w:rsidR="00C723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Т.Л.,   </w:t>
      </w:r>
      <w:proofErr w:type="spellStart"/>
      <w:r w:rsidR="00C723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Любайкіна</w:t>
      </w:r>
      <w:proofErr w:type="spellEnd"/>
      <w:r w:rsidR="00C723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О.О.,  </w:t>
      </w:r>
      <w:proofErr w:type="spellStart"/>
      <w:r w:rsidR="00C723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Ушакова</w:t>
      </w:r>
      <w:proofErr w:type="spellEnd"/>
      <w:r w:rsidR="00C723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Т.Д..</w:t>
      </w:r>
    </w:p>
    <w:p w:rsidR="00E71A24" w:rsidRPr="002938F8" w:rsidRDefault="00C72394" w:rsidP="00E71A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  <w:r w:rsidR="00E71A24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 метою  реалізації    поставлених   задач   було  проведено  </w:t>
      </w:r>
      <w:r w:rsidR="00E71A24">
        <w:rPr>
          <w:rFonts w:ascii="Times New Roman" w:eastAsia="Calibri" w:hAnsi="Times New Roman" w:cs="Times New Roman"/>
          <w:sz w:val="28"/>
          <w:szCs w:val="28"/>
          <w:lang w:val="uk-UA"/>
        </w:rPr>
        <w:t>три</w:t>
      </w:r>
      <w:r w:rsidR="00E71A24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,  згідно з  планом   роботи ,  засідання   методичного  </w:t>
      </w:r>
      <w:proofErr w:type="spellStart"/>
      <w:r w:rsidR="00E71A24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обʹєднання</w:t>
      </w:r>
      <w:proofErr w:type="spellEnd"/>
      <w:r w:rsidR="00E71A24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    наступних  тем:</w:t>
      </w:r>
    </w:p>
    <w:p w:rsidR="00E71A24" w:rsidRPr="002938F8" w:rsidRDefault="00E71A24" w:rsidP="00E71A24">
      <w:pPr>
        <w:numPr>
          <w:ilvl w:val="0"/>
          <w:numId w:val="3"/>
        </w:numPr>
        <w:spacing w:after="0"/>
        <w:ind w:left="851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41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Шкільна  хімічна освіта  у  </w:t>
      </w: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Pr="002938F8">
        <w:rPr>
          <w:rFonts w:ascii="Times New Roman" w:eastAsia="Calibri" w:hAnsi="Times New Roman" w:cs="Times New Roman"/>
          <w:sz w:val="28"/>
          <w:szCs w:val="28"/>
        </w:rPr>
        <w:t>1</w:t>
      </w:r>
      <w:r w:rsidR="0068418F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-201</w:t>
      </w:r>
      <w:r w:rsidR="0068418F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</w:p>
    <w:p w:rsidR="00E71A24" w:rsidRPr="002938F8" w:rsidRDefault="00E71A24" w:rsidP="00E71A24">
      <w:p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2. </w:t>
      </w:r>
      <w:r w:rsidR="0068418F">
        <w:rPr>
          <w:rFonts w:ascii="Times New Roman" w:hAnsi="Times New Roman" w:cs="Times New Roman"/>
          <w:sz w:val="28"/>
          <w:szCs w:val="28"/>
          <w:lang w:val="uk-UA"/>
        </w:rPr>
        <w:t>Нестандартні  форми  роботи  на  уроках  хімії  -  шлях  до  формування  творчої особистості  учня.</w:t>
      </w:r>
    </w:p>
    <w:p w:rsidR="00E71A24" w:rsidRPr="002938F8" w:rsidRDefault="0068418F" w:rsidP="00E71A24">
      <w:pPr>
        <w:numPr>
          <w:ilvl w:val="0"/>
          <w:numId w:val="4"/>
        </w:numPr>
        <w:spacing w:after="0"/>
        <w:ind w:left="851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Розвиток  творчих  здібностей  та  обдарованості  учнів  засобами  предмета  хімія</w:t>
      </w:r>
      <w:r w:rsidR="00E71A24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71A24" w:rsidRPr="002938F8" w:rsidRDefault="00E71A24" w:rsidP="00E71A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На  першому  організаційно - теоретичному  засіданні   РМО   вчителів  хімії  було    розглянуто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інструктивно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методичні  рекомендації  щодо   викладання  курсу  хімії  у  201</w:t>
      </w:r>
      <w:r w:rsidR="00D60C7A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-201</w:t>
      </w:r>
      <w:r w:rsidR="00D60C7A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та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переходу старшої  школи  на  профільне  навчання.  </w:t>
      </w: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Розглядалось  питання  підготовки  учнів  до  олімпіад.  Вчителі  хімії    проаналізували  навчальні  досягнення  учнів  за  результатами  ДПА  у  201</w:t>
      </w:r>
      <w:r w:rsidR="00D60C7A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-201</w:t>
      </w:r>
      <w:r w:rsidR="00D60C7A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.,  отримали  інформацію  про  заходи  районного  рівня  (конкурси)  на  новий  навчальний  рік</w:t>
      </w:r>
      <w:r w:rsidR="00D60C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та  участі  учнів  району  у інтерактивній  грі  «</w:t>
      </w:r>
      <w:proofErr w:type="spellStart"/>
      <w:r w:rsidR="00D60C7A">
        <w:rPr>
          <w:rFonts w:ascii="Times New Roman" w:eastAsia="Calibri" w:hAnsi="Times New Roman" w:cs="Times New Roman"/>
          <w:sz w:val="28"/>
          <w:szCs w:val="28"/>
          <w:lang w:val="uk-UA"/>
        </w:rPr>
        <w:t>Геліантус</w:t>
      </w:r>
      <w:proofErr w:type="spellEnd"/>
      <w:r w:rsidR="00D60C7A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Розглядалось  питання  щодо  виконання  практичної   частини   програми,   шляхом  використання  речовин   ужиткової  хімії</w:t>
      </w:r>
      <w:r w:rsidR="00D60C7A">
        <w:rPr>
          <w:rFonts w:ascii="Times New Roman" w:eastAsia="Calibri" w:hAnsi="Times New Roman" w:cs="Times New Roman"/>
          <w:sz w:val="28"/>
          <w:szCs w:val="28"/>
          <w:lang w:val="uk-UA"/>
        </w:rPr>
        <w:t>,  організації  та  проведенні  лабораторних  та  практичних  робіт,  особливостей  ведення  сторінки  з  хімії  у  класному  журналі.</w:t>
      </w: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Як    підсумок  роботи  засідання ,  були  визначені  конкретні  рекомендації  щодо  опрацювання  науково – методичної  літератури,  збільшення  практичної  спрямованості  навчання  хімії,  удосконалення  системи  контролю  навчальних  досягнень  учнів шляхом  систематичного  використання тестів  у  навчальному  процесі,  розробки  індивідуальних  програм  роботи  з  обдарованими  учнями. </w:t>
      </w:r>
    </w:p>
    <w:p w:rsidR="00D60C7A" w:rsidRDefault="00E71A24" w:rsidP="00E71A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Активну  участь  у  роботі  засідання  РМО   взяли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Пахнич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С.В.  (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Новоданилівська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ЗОШ),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Толмачова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Л.Є</w:t>
      </w: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Азовська</w:t>
      </w: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ЗОШ),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60C7A">
        <w:rPr>
          <w:rFonts w:ascii="Times New Roman" w:eastAsia="Calibri" w:hAnsi="Times New Roman" w:cs="Times New Roman"/>
          <w:sz w:val="28"/>
          <w:szCs w:val="28"/>
          <w:lang w:val="uk-UA"/>
        </w:rPr>
        <w:t>Любайкіна</w:t>
      </w:r>
      <w:proofErr w:type="spellEnd"/>
      <w:r w:rsidR="00D60C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О.О.</w:t>
      </w: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(</w:t>
      </w:r>
      <w:r w:rsidR="00D60C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НВК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Якимівська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D60C7A">
        <w:rPr>
          <w:rFonts w:ascii="Times New Roman" w:eastAsia="Calibri" w:hAnsi="Times New Roman" w:cs="Times New Roman"/>
          <w:sz w:val="28"/>
          <w:szCs w:val="28"/>
          <w:lang w:val="uk-UA"/>
        </w:rPr>
        <w:t>гімназія</w:t>
      </w: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),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Ушакова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Т.Д.  (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Великотернівська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ЗОШ)</w:t>
      </w:r>
      <w:r w:rsidR="00D62D73">
        <w:rPr>
          <w:rFonts w:ascii="Times New Roman" w:eastAsia="Calibri" w:hAnsi="Times New Roman" w:cs="Times New Roman"/>
          <w:sz w:val="28"/>
          <w:szCs w:val="28"/>
          <w:lang w:val="uk-UA"/>
        </w:rPr>
        <w:t>,  Лапіна  Г.Ф.  (</w:t>
      </w:r>
      <w:proofErr w:type="spellStart"/>
      <w:r w:rsidR="00D62D73">
        <w:rPr>
          <w:rFonts w:ascii="Times New Roman" w:eastAsia="Calibri" w:hAnsi="Times New Roman" w:cs="Times New Roman"/>
          <w:sz w:val="28"/>
          <w:szCs w:val="28"/>
          <w:lang w:val="uk-UA"/>
        </w:rPr>
        <w:t>Якимівська</w:t>
      </w:r>
      <w:proofErr w:type="spellEnd"/>
      <w:r w:rsidR="00D62D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ЗОШ  № 2)  </w:t>
      </w: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</w:p>
    <w:p w:rsidR="00E71A24" w:rsidRPr="002938F8" w:rsidRDefault="00D62D73" w:rsidP="00E71A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r w:rsidR="00E71A24">
        <w:rPr>
          <w:rFonts w:ascii="Times New Roman" w:eastAsia="Calibri" w:hAnsi="Times New Roman" w:cs="Times New Roman"/>
          <w:sz w:val="28"/>
          <w:szCs w:val="28"/>
          <w:lang w:val="uk-UA"/>
        </w:rPr>
        <w:t>На  наступних засіданнях</w:t>
      </w:r>
      <w:r w:rsidR="00E71A24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РМО  </w:t>
      </w:r>
      <w:r w:rsidR="00E71A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увагу  </w:t>
      </w:r>
      <w:r w:rsidR="00E71A24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вчителів  хімії  бул</w:t>
      </w:r>
      <w:r w:rsidR="00E71A24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E71A24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E71A24">
        <w:rPr>
          <w:rFonts w:ascii="Times New Roman" w:eastAsia="Calibri" w:hAnsi="Times New Roman" w:cs="Times New Roman"/>
          <w:sz w:val="28"/>
          <w:szCs w:val="28"/>
          <w:lang w:val="uk-UA"/>
        </w:rPr>
        <w:t>спрямовано на  теоретичн</w:t>
      </w:r>
      <w:r w:rsidR="00C723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   </w:t>
      </w:r>
      <w:r w:rsidR="00E71A24">
        <w:rPr>
          <w:rFonts w:ascii="Times New Roman" w:eastAsia="Calibri" w:hAnsi="Times New Roman" w:cs="Times New Roman"/>
          <w:sz w:val="28"/>
          <w:szCs w:val="28"/>
          <w:lang w:val="uk-UA"/>
        </w:rPr>
        <w:t>вивчення  літератури  з  науково – методичних  тем  району  та  РМО вчителів  хімії.</w:t>
      </w:r>
      <w:r w:rsidR="00E71A24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З метою  підвищення  </w:t>
      </w:r>
      <w:r w:rsidR="00E71A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методичного  та  </w:t>
      </w:r>
      <w:r w:rsidR="00E71A24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професійного  рівн</w:t>
      </w:r>
      <w:r w:rsidR="00E71A24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r w:rsidR="00E71A24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вчителів  було  розглянуто  наступні  питання:</w:t>
      </w:r>
    </w:p>
    <w:p w:rsidR="00E71A24" w:rsidRPr="002938F8" w:rsidRDefault="00C574C5" w:rsidP="00E71A24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Використання  нестандартних  форм  організації  навчального  процесу, як  запорука  творчого  зростання  вчителя  й  розвитку  здібностей  учнів</w:t>
      </w:r>
      <w:r w:rsidR="00E71A24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Пахнич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С.В.</w:t>
      </w:r>
      <w:r w:rsidR="00E71A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Новоданилівська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ЗОШ</w:t>
      </w:r>
      <w:r w:rsidR="00E71A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E71A24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E71A24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ЗОШ</w:t>
      </w:r>
      <w:proofErr w:type="spellEnd"/>
      <w:r w:rsidR="00E71A24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І-ІІІ </w:t>
      </w:r>
      <w:proofErr w:type="spellStart"/>
      <w:r w:rsidR="00E71A24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ст</w:t>
      </w:r>
      <w:proofErr w:type="spellEnd"/>
      <w:r w:rsidR="00E71A24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),</w:t>
      </w:r>
    </w:p>
    <w:p w:rsidR="00C574C5" w:rsidRDefault="00C574C5" w:rsidP="00E71A24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Роль  та  переваги  нестандартних  форм  організації  уроків  хімії </w:t>
      </w:r>
      <w:r w:rsidR="00E71A24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Лапіна  Г.Ф.</w:t>
      </w:r>
      <w:r w:rsidR="00E71A2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E71A24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E71A24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Якимівська</w:t>
      </w:r>
      <w:proofErr w:type="spellEnd"/>
      <w:r w:rsidR="00E71A24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ЗОШ  № 2,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Галак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Р.С.,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Якимівська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ЗОШ  № 1),</w:t>
      </w:r>
    </w:p>
    <w:p w:rsidR="00E71A24" w:rsidRPr="002938F8" w:rsidRDefault="00C574C5" w:rsidP="00E71A24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  можливостей  самовизначення  дитини  через  залучення  до різних  видів  діяльності 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Копайло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І .К.,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Якимівська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ЗОШ  № 2)</w:t>
      </w:r>
      <w:r w:rsidR="00E71A24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C574C5" w:rsidRDefault="00C574C5" w:rsidP="00C574C5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7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Умови творчої  самореалізації  вчителів  хімії  та  обдарованих  дітей </w:t>
      </w:r>
      <w:r w:rsidR="00E71A24" w:rsidRPr="00C57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(</w:t>
      </w:r>
      <w:proofErr w:type="spellStart"/>
      <w:r w:rsidR="00E71A24" w:rsidRPr="00C574C5">
        <w:rPr>
          <w:rFonts w:ascii="Times New Roman" w:eastAsia="Calibri" w:hAnsi="Times New Roman" w:cs="Times New Roman"/>
          <w:sz w:val="28"/>
          <w:szCs w:val="28"/>
          <w:lang w:val="uk-UA"/>
        </w:rPr>
        <w:t>Пахнич</w:t>
      </w:r>
      <w:proofErr w:type="spellEnd"/>
      <w:r w:rsidR="00E71A24" w:rsidRPr="00C57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С.В.  </w:t>
      </w:r>
      <w:proofErr w:type="spellStart"/>
      <w:r w:rsidR="00E71A24" w:rsidRPr="00C574C5">
        <w:rPr>
          <w:rFonts w:ascii="Times New Roman" w:eastAsia="Calibri" w:hAnsi="Times New Roman" w:cs="Times New Roman"/>
          <w:sz w:val="28"/>
          <w:szCs w:val="28"/>
          <w:lang w:val="uk-UA"/>
        </w:rPr>
        <w:t>Новоданилівська</w:t>
      </w:r>
      <w:proofErr w:type="spellEnd"/>
      <w:r w:rsidR="00E71A24" w:rsidRPr="00C57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ЗОШ  І-ІІІ ст..)</w:t>
      </w:r>
      <w:r w:rsidRPr="00C574C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71A24" w:rsidRPr="00C574C5" w:rsidRDefault="00E71A24" w:rsidP="00C574C5">
      <w:pPr>
        <w:spacing w:after="0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7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C28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Панорама  методичних  знахідок  з  теми </w:t>
      </w:r>
      <w:r w:rsidR="00C57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«Нестандартні  форми  роботи  на уроках  хімії  -  шлях  до  формування  творчої  особистості  учня» </w:t>
      </w:r>
      <w:r w:rsidR="007C288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продемонструвала   що,   вчителі  хімії  </w:t>
      </w:r>
      <w:r w:rsidR="007C288B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успішно </w:t>
      </w:r>
      <w:r w:rsidR="007C28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7C288B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реалізують </w:t>
      </w:r>
      <w:r w:rsidR="007C28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7C288B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основні</w:t>
      </w:r>
      <w:r w:rsidR="007C28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7C288B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складові системи </w:t>
      </w:r>
      <w:r w:rsidR="007C28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proofErr w:type="spellStart"/>
      <w:r w:rsidR="007C288B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природничо</w:t>
      </w:r>
      <w:proofErr w:type="spellEnd"/>
      <w:r w:rsidR="007C28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7C288B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7C28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7C288B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наукової </w:t>
      </w:r>
      <w:r w:rsidR="007C28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C288B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освіти, працюють над удосконаленням структури уроку, запроваджують інноваційні педагогічні технології, посилюють увагу до якості навчання, формують в учнів науковий</w:t>
      </w:r>
      <w:r w:rsidR="00F32F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 хімічний</w:t>
      </w:r>
      <w:r w:rsidR="007C288B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екологічний світогляд, життєві </w:t>
      </w:r>
      <w:r w:rsidR="007C28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7C288B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й </w:t>
      </w:r>
      <w:r w:rsidR="007C28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7C288B"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соціальні компетенції.</w:t>
      </w:r>
      <w:r w:rsidR="007C28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Так </w:t>
      </w:r>
      <w:r w:rsidR="00C57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вчитель  </w:t>
      </w:r>
      <w:proofErr w:type="spellStart"/>
      <w:r w:rsidR="00C574C5">
        <w:rPr>
          <w:rFonts w:ascii="Times New Roman" w:eastAsia="Calibri" w:hAnsi="Times New Roman" w:cs="Times New Roman"/>
          <w:sz w:val="28"/>
          <w:szCs w:val="28"/>
          <w:lang w:val="uk-UA"/>
        </w:rPr>
        <w:t>Великотернівської</w:t>
      </w:r>
      <w:proofErr w:type="spellEnd"/>
      <w:r w:rsidR="00C57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ЗОШ  І-ІІІ ст..  </w:t>
      </w:r>
      <w:proofErr w:type="spellStart"/>
      <w:r w:rsidR="00C574C5">
        <w:rPr>
          <w:rFonts w:ascii="Times New Roman" w:eastAsia="Calibri" w:hAnsi="Times New Roman" w:cs="Times New Roman"/>
          <w:sz w:val="28"/>
          <w:szCs w:val="28"/>
          <w:lang w:val="uk-UA"/>
        </w:rPr>
        <w:t>Ушакова</w:t>
      </w:r>
      <w:proofErr w:type="spellEnd"/>
      <w:r w:rsidR="00C57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Т.Д.  продемонструвала  відео урок  «В</w:t>
      </w:r>
      <w:r w:rsidR="007C288B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C57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робництво  сульфатної  кислоти»,  </w:t>
      </w:r>
      <w:proofErr w:type="spellStart"/>
      <w:r w:rsidR="00C574C5">
        <w:rPr>
          <w:rFonts w:ascii="Times New Roman" w:eastAsia="Calibri" w:hAnsi="Times New Roman" w:cs="Times New Roman"/>
          <w:sz w:val="28"/>
          <w:szCs w:val="28"/>
          <w:lang w:val="uk-UA"/>
        </w:rPr>
        <w:t>Поліник</w:t>
      </w:r>
      <w:proofErr w:type="spellEnd"/>
      <w:r w:rsidR="00C57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Т.Л.,  вчитель  хімії  </w:t>
      </w:r>
      <w:r w:rsidR="007C28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Вовчанської  ЗОШ  І-ІІІ ст.,  поділилася  своїми  знахідками,  продемонструвала   результати  своєї  роботи  за  допомогою  мультимедійної  презентації.  </w:t>
      </w:r>
      <w:proofErr w:type="spellStart"/>
      <w:r w:rsidR="007C288B">
        <w:rPr>
          <w:rFonts w:ascii="Times New Roman" w:eastAsia="Calibri" w:hAnsi="Times New Roman" w:cs="Times New Roman"/>
          <w:sz w:val="28"/>
          <w:szCs w:val="28"/>
          <w:lang w:val="uk-UA"/>
        </w:rPr>
        <w:t>Євсюкова</w:t>
      </w:r>
      <w:proofErr w:type="spellEnd"/>
      <w:r w:rsidR="007C28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Т.В.,  вчитель  хімії  </w:t>
      </w:r>
      <w:proofErr w:type="spellStart"/>
      <w:r w:rsidR="007C288B">
        <w:rPr>
          <w:rFonts w:ascii="Times New Roman" w:eastAsia="Calibri" w:hAnsi="Times New Roman" w:cs="Times New Roman"/>
          <w:sz w:val="28"/>
          <w:szCs w:val="28"/>
          <w:lang w:val="uk-UA"/>
        </w:rPr>
        <w:t>Новоданилівської</w:t>
      </w:r>
      <w:proofErr w:type="spellEnd"/>
      <w:r w:rsidR="007C28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ЗОШ  І-ІІІ ст.,  ознайомила  присутніх  вчителів  зі  своїми  </w:t>
      </w:r>
      <w:proofErr w:type="spellStart"/>
      <w:r w:rsidR="007C288B">
        <w:rPr>
          <w:rFonts w:ascii="Times New Roman" w:eastAsia="Calibri" w:hAnsi="Times New Roman" w:cs="Times New Roman"/>
          <w:sz w:val="28"/>
          <w:szCs w:val="28"/>
          <w:lang w:val="uk-UA"/>
        </w:rPr>
        <w:t>наробками</w:t>
      </w:r>
      <w:proofErr w:type="spellEnd"/>
      <w:r w:rsidR="007C28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із  заявленої теми.    </w:t>
      </w:r>
    </w:p>
    <w:p w:rsidR="007C288B" w:rsidRDefault="007C288B" w:rsidP="00E71A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В  ярмарку  уроків  з  хімії  активну  участь  взяли  вчителі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Костандова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О.О.  (НВК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Якимівська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гімназія), з  відео уроком  «Харчові  добавки.  Е - числа»,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Толмачова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Л.Є,  вчитель  хімії  Азовської  ЗОШ  І – ІІІ ст.</w:t>
      </w:r>
      <w:r w:rsidR="003C1122">
        <w:rPr>
          <w:rFonts w:ascii="Times New Roman" w:eastAsia="Calibri" w:hAnsi="Times New Roman" w:cs="Times New Roman"/>
          <w:sz w:val="28"/>
          <w:szCs w:val="28"/>
          <w:lang w:val="uk-UA"/>
        </w:rPr>
        <w:t>, з  уроком  ,  який  супроводжується  мультимедійною  презентацією  «Нітрати,  їх  властивості»</w:t>
      </w:r>
    </w:p>
    <w:p w:rsidR="003C1122" w:rsidRPr="00E71A24" w:rsidRDefault="003C1122" w:rsidP="003C11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Учителі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хімії  </w:t>
      </w: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постійно підвищують власний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фаховий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рівень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шляхом курсової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підготовки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 цьому  році пройшли  курсову перепідготовку  при  ЗОІППО _</w:t>
      </w:r>
      <w:r w:rsidR="00931C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  </w:t>
      </w: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учителів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 що  становить  100 %  до  плану</w:t>
      </w: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міжкурсовий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період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через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досвідом, участь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методичних об’єднань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району,   ЗНЗ</w:t>
      </w: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постійно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діючих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районних,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обласних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семінарів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конференцій з актуальних питань теорії, методики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практики педагогічної діяльності, самоосвіту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 роботу  у  складі  творчих  груп  області  та  району.  </w:t>
      </w: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сприяє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неперервності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професійної освіти, підвищенню теоретичної й методичної підготовки вчителів, розвитку творчості, запровадженню інноваційних педагогічних технологій навчання і виховання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практику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діяльності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вчителів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хімії</w:t>
      </w: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F62610" w:rsidRPr="002938F8" w:rsidRDefault="00E71A24" w:rsidP="00F626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F62610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В  обласн</w:t>
      </w:r>
      <w:r w:rsidR="00F626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их  </w:t>
      </w:r>
      <w:r w:rsidR="00F62610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семінар</w:t>
      </w:r>
      <w:r w:rsidR="00F62610">
        <w:rPr>
          <w:rFonts w:ascii="Times New Roman" w:eastAsia="Calibri" w:hAnsi="Times New Roman" w:cs="Times New Roman"/>
          <w:sz w:val="28"/>
          <w:szCs w:val="28"/>
          <w:lang w:val="uk-UA"/>
        </w:rPr>
        <w:t>ах  на  базі  ЗОІППО систематично  бере</w:t>
      </w:r>
      <w:r w:rsidR="00F62610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участь  </w:t>
      </w:r>
      <w:proofErr w:type="spellStart"/>
      <w:r w:rsidR="00F62610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Пахнич</w:t>
      </w:r>
      <w:proofErr w:type="spellEnd"/>
      <w:r w:rsidR="00F62610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С.В.  (</w:t>
      </w:r>
      <w:proofErr w:type="spellStart"/>
      <w:r w:rsidR="00F62610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Новоданилівська</w:t>
      </w:r>
      <w:proofErr w:type="spellEnd"/>
      <w:r w:rsidR="00F62610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ЗОШ).  </w:t>
      </w:r>
    </w:p>
    <w:p w:rsidR="00F62610" w:rsidRPr="002938F8" w:rsidRDefault="00F62610" w:rsidP="00F626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8F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2938F8">
        <w:rPr>
          <w:rFonts w:ascii="Times New Roman" w:hAnsi="Times New Roman" w:cs="Times New Roman"/>
          <w:sz w:val="28"/>
          <w:szCs w:val="28"/>
          <w:lang w:val="uk-UA"/>
        </w:rPr>
        <w:t>Пахнич</w:t>
      </w:r>
      <w:proofErr w:type="spellEnd"/>
      <w:r w:rsidRPr="002938F8">
        <w:rPr>
          <w:rFonts w:ascii="Times New Roman" w:hAnsi="Times New Roman" w:cs="Times New Roman"/>
          <w:sz w:val="28"/>
          <w:szCs w:val="28"/>
          <w:lang w:val="uk-UA"/>
        </w:rPr>
        <w:t xml:space="preserve">  С.В.  є  членом  обласної  творчої  групи  вчителів  хімії.</w:t>
      </w:r>
    </w:p>
    <w:p w:rsidR="00E71A24" w:rsidRPr="002938F8" w:rsidRDefault="00F62610" w:rsidP="00E71A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="00E71A24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В  201</w:t>
      </w:r>
      <w:r w:rsidR="003C1122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E71A24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-201</w:t>
      </w:r>
      <w:r w:rsidR="003C1122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E71A24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3C11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71A24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навчальному  році  атестовано  </w:t>
      </w:r>
      <w:r w:rsidR="009550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четверо </w:t>
      </w:r>
      <w:r w:rsidR="00E71A24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вчителів.  За  результатами  атестації</w:t>
      </w:r>
      <w:r w:rsidR="00E71A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71A24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71A24">
        <w:rPr>
          <w:rFonts w:ascii="Times New Roman" w:eastAsia="Calibri" w:hAnsi="Times New Roman" w:cs="Times New Roman"/>
          <w:sz w:val="28"/>
          <w:szCs w:val="28"/>
          <w:lang w:val="uk-UA"/>
        </w:rPr>
        <w:t>підвищил</w:t>
      </w:r>
      <w:r w:rsidR="009550FE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E71A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71A24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кваліфікаційну  категорію   вчител</w:t>
      </w:r>
      <w:r w:rsidR="009550FE"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 w:rsidR="00E71A24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 </w:t>
      </w:r>
    </w:p>
    <w:p w:rsidR="00E71A24" w:rsidRDefault="00E71A24" w:rsidP="00E71A24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«спеціаліст  вищої  категорії»  -  </w:t>
      </w:r>
      <w:r w:rsidR="009550FE">
        <w:rPr>
          <w:rFonts w:ascii="Times New Roman" w:eastAsia="Calibri" w:hAnsi="Times New Roman" w:cs="Times New Roman"/>
          <w:sz w:val="28"/>
          <w:szCs w:val="28"/>
          <w:lang w:val="uk-UA"/>
        </w:rPr>
        <w:t>Лапіна  Г.Ф.,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(</w:t>
      </w:r>
      <w:proofErr w:type="spellStart"/>
      <w:r w:rsidR="009550FE">
        <w:rPr>
          <w:rFonts w:ascii="Times New Roman" w:eastAsia="Calibri" w:hAnsi="Times New Roman" w:cs="Times New Roman"/>
          <w:sz w:val="28"/>
          <w:szCs w:val="28"/>
          <w:lang w:val="uk-UA"/>
        </w:rPr>
        <w:t>Якимівська</w:t>
      </w:r>
      <w:proofErr w:type="spellEnd"/>
      <w:r w:rsidR="009550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ЗОШ  </w:t>
      </w:r>
      <w:r w:rsidR="009550FE">
        <w:rPr>
          <w:rFonts w:ascii="Times New Roman" w:eastAsia="Calibri" w:hAnsi="Times New Roman" w:cs="Times New Roman"/>
          <w:sz w:val="28"/>
          <w:szCs w:val="28"/>
          <w:lang w:val="uk-UA"/>
        </w:rPr>
        <w:t>№ 2</w:t>
      </w: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9550F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71A24" w:rsidRDefault="009550FE" w:rsidP="00E71A24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E71A24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ідтвердил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E71A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E71A24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«спеціаліст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вищої  категорії</w:t>
      </w:r>
      <w:r w:rsidR="00E71A24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та  звання  старший  вчитель</w:t>
      </w:r>
      <w:r w:rsidR="00E71A24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-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Галак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Р.С.</w:t>
      </w:r>
      <w:r w:rsidR="00E71A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Якимівська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E71A24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ЗОШ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71A24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№ 1</w:t>
      </w:r>
      <w:r w:rsidR="00E71A24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9550FE" w:rsidRPr="009550FE" w:rsidRDefault="009550FE" w:rsidP="009550FE">
      <w:pPr>
        <w:pStyle w:val="a9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«спеціаліст  І  категорії»  -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Євсюкова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Т.В. 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Новоданилівська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ЗОШ  І-ІІІ ст.)  та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Алімкін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С.В. 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Розівська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ЗОШ  І-ІІІ ст..)</w:t>
      </w:r>
    </w:p>
    <w:p w:rsidR="009A26D5" w:rsidRDefault="009A26D5" w:rsidP="009A26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26D5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Не залишається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 </w:t>
      </w:r>
      <w:r w:rsidRPr="009A26D5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поза увагою 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 </w:t>
      </w:r>
      <w:r w:rsidRPr="009A26D5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вчителів 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  </w:t>
      </w:r>
      <w:r w:rsidRPr="009A26D5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і 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 </w:t>
      </w:r>
      <w:r w:rsidRPr="009A26D5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напрям  роботи з обдарованими дітьми. 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 </w:t>
      </w: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ють   </w:t>
      </w: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хімії, мультимедійні   фрагменти,  беруть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участь  у  інтерактивних  конкурсах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Геліантус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 заочному  конкурсі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Мультитест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 інституту  розвитку  шкільної  освіти.</w:t>
      </w:r>
    </w:p>
    <w:p w:rsidR="00E71A24" w:rsidRPr="002938F8" w:rsidRDefault="00F62610" w:rsidP="009A26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71A24" w:rsidRPr="002938F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71A24" w:rsidRPr="002938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районному  етапі  учнівських  олімпіад  з  хімії  змагались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23</w:t>
      </w:r>
      <w:r w:rsidR="00E71A24" w:rsidRPr="002938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учні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71A24" w:rsidRPr="002938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із 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  </w:t>
      </w:r>
      <w:r w:rsidR="00E71A24" w:rsidRPr="002938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шкіл  району  (додаток  № 1) .</w:t>
      </w:r>
    </w:p>
    <w:p w:rsidR="00E71A24" w:rsidRPr="009A26D5" w:rsidRDefault="00E71A24" w:rsidP="00E71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938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Це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трохи  вищий </w:t>
      </w:r>
      <w:r w:rsidRPr="009A26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показник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A26D5">
        <w:rPr>
          <w:rFonts w:ascii="Times New Roman" w:hAnsi="Times New Roman" w:cs="Times New Roman"/>
          <w:sz w:val="28"/>
          <w:szCs w:val="28"/>
          <w:lang w:val="uk-UA" w:eastAsia="ru-RU"/>
        </w:rPr>
        <w:t>порівняно  з  20</w:t>
      </w:r>
      <w:r w:rsidRPr="002938F8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="00F62610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9A26D5">
        <w:rPr>
          <w:rFonts w:ascii="Times New Roman" w:hAnsi="Times New Roman" w:cs="Times New Roman"/>
          <w:sz w:val="28"/>
          <w:szCs w:val="28"/>
          <w:lang w:val="uk-UA" w:eastAsia="ru-RU"/>
        </w:rPr>
        <w:t>-201</w:t>
      </w:r>
      <w:r w:rsidR="00F62610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9A26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9A26D5">
        <w:rPr>
          <w:rFonts w:ascii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9A26D5">
        <w:rPr>
          <w:rFonts w:ascii="Times New Roman" w:hAnsi="Times New Roman" w:cs="Times New Roman"/>
          <w:sz w:val="28"/>
          <w:szCs w:val="28"/>
          <w:lang w:val="uk-UA" w:eastAsia="ru-RU"/>
        </w:rPr>
        <w:t>.  (</w:t>
      </w:r>
      <w:r w:rsidR="00F62610">
        <w:rPr>
          <w:rFonts w:ascii="Times New Roman" w:hAnsi="Times New Roman" w:cs="Times New Roman"/>
          <w:sz w:val="28"/>
          <w:szCs w:val="28"/>
          <w:lang w:val="uk-UA" w:eastAsia="ru-RU"/>
        </w:rPr>
        <w:t>23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A26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938F8">
        <w:rPr>
          <w:rFonts w:ascii="Times New Roman" w:hAnsi="Times New Roman" w:cs="Times New Roman"/>
          <w:sz w:val="28"/>
          <w:szCs w:val="28"/>
          <w:lang w:val="uk-UA" w:eastAsia="ru-RU"/>
        </w:rPr>
        <w:t>учні</w:t>
      </w:r>
      <w:r w:rsidRPr="009A26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проти  </w:t>
      </w:r>
      <w:r w:rsidRPr="002938F8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="00F62610"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Pr="009A26D5">
        <w:rPr>
          <w:rFonts w:ascii="Times New Roman" w:hAnsi="Times New Roman" w:cs="Times New Roman"/>
          <w:sz w:val="28"/>
          <w:szCs w:val="28"/>
          <w:lang w:val="uk-UA" w:eastAsia="ru-RU"/>
        </w:rPr>
        <w:t>,  з  1</w:t>
      </w:r>
      <w:r w:rsidR="00F62610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Pr="009A26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шкіл </w:t>
      </w:r>
      <w:r w:rsidR="00F6261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A26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проти  </w:t>
      </w:r>
      <w:r w:rsidR="00F62610">
        <w:rPr>
          <w:rFonts w:ascii="Times New Roman" w:hAnsi="Times New Roman" w:cs="Times New Roman"/>
          <w:sz w:val="28"/>
          <w:szCs w:val="28"/>
          <w:lang w:val="uk-UA" w:eastAsia="ru-RU"/>
        </w:rPr>
        <w:t>14</w:t>
      </w:r>
      <w:r w:rsidRPr="009A26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).   </w:t>
      </w:r>
    </w:p>
    <w:p w:rsidR="00F62610" w:rsidRPr="00F62610" w:rsidRDefault="00F62610" w:rsidP="00F626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2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Переможцями   визнані   4  учнів  або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F62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17 %  від  загальної кількості  учнів,  які  приймали  участь  у  ІІ етапі  олімпіади ,   підготовані   вчителями  3-х  ЗНЗ. </w:t>
      </w:r>
    </w:p>
    <w:p w:rsidR="00F62610" w:rsidRPr="00F62610" w:rsidRDefault="00F62610" w:rsidP="00F626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2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Однією  з  причин  зменшення  кількості  переможців  порівняно з минулим роком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F62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  перегляд   критеріїв   визначення призових місць оргкомітетом районної  олімпіади.</w:t>
      </w:r>
    </w:p>
    <w:p w:rsidR="00F62610" w:rsidRPr="00F62610" w:rsidRDefault="00F62610" w:rsidP="00F626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2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Кращими  є   результати   команд:</w:t>
      </w:r>
    </w:p>
    <w:p w:rsidR="00F62610" w:rsidRPr="00F62610" w:rsidRDefault="00F62610" w:rsidP="00F6261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2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учнів  </w:t>
      </w:r>
      <w:proofErr w:type="spellStart"/>
      <w:r w:rsidRPr="00F62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Новоданилівської</w:t>
      </w:r>
      <w:proofErr w:type="spellEnd"/>
      <w:r w:rsidRPr="00F62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ЗОШ  (ІІ місце -  76 % виконаних  завдань,  ІІІ місце - 50% виконаних завдань),  </w:t>
      </w:r>
    </w:p>
    <w:p w:rsidR="00F62610" w:rsidRPr="00F62610" w:rsidRDefault="00F62610" w:rsidP="00F6261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2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учнів  </w:t>
      </w:r>
      <w:proofErr w:type="spellStart"/>
      <w:r w:rsidRPr="00F62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Якимівської</w:t>
      </w:r>
      <w:proofErr w:type="spellEnd"/>
      <w:r w:rsidRPr="00F62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гімназії  (троє  з  шести</w:t>
      </w:r>
      <w:r w:rsidR="009A2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F62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ІІІ місце  -  36 %, та у двох  учнів  22 % виконаних  завдань  ),  </w:t>
      </w:r>
    </w:p>
    <w:p w:rsidR="00F62610" w:rsidRPr="00F62610" w:rsidRDefault="00F62610" w:rsidP="00F6261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2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F62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Атманайської</w:t>
      </w:r>
      <w:proofErr w:type="spellEnd"/>
      <w:r w:rsidRPr="00F62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ЗОШ  (одна  учениця ІІІ місце ,  46 % виконаних  завдань),</w:t>
      </w:r>
    </w:p>
    <w:p w:rsidR="00F62610" w:rsidRPr="00F62610" w:rsidRDefault="00F62610" w:rsidP="00F6261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2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 w:rsidRPr="00F62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Радивонівської</w:t>
      </w:r>
      <w:proofErr w:type="spellEnd"/>
      <w:r w:rsidRPr="00F62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ЗОШ (один  учень,  виконання  завдань  на  22 %).</w:t>
      </w:r>
    </w:p>
    <w:p w:rsidR="00F62610" w:rsidRPr="00F62610" w:rsidRDefault="00E71A24" w:rsidP="00F6261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61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6261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62610" w:rsidRPr="00F62610">
        <w:rPr>
          <w:rFonts w:ascii="Times New Roman" w:hAnsi="Times New Roman" w:cs="Times New Roman"/>
          <w:sz w:val="28"/>
          <w:szCs w:val="28"/>
          <w:lang w:val="uk-UA"/>
        </w:rPr>
        <w:t>Не  підготували  учнів до  участі  у  районному  етапі  предметної  олімпіади  вчителі</w:t>
      </w:r>
      <w:r w:rsidR="00F62610" w:rsidRPr="002938F8">
        <w:rPr>
          <w:rFonts w:ascii="Times New Roman" w:hAnsi="Times New Roman" w:cs="Times New Roman"/>
          <w:sz w:val="28"/>
          <w:szCs w:val="28"/>
          <w:lang w:val="uk-UA"/>
        </w:rPr>
        <w:t xml:space="preserve">  дев'яти  навчальних  закладів  району: </w:t>
      </w:r>
      <w:proofErr w:type="spellStart"/>
      <w:r w:rsidR="00F62610" w:rsidRPr="00F62610">
        <w:rPr>
          <w:rFonts w:ascii="Times New Roman" w:hAnsi="Times New Roman" w:cs="Times New Roman"/>
          <w:sz w:val="28"/>
          <w:szCs w:val="28"/>
          <w:lang w:val="uk-UA"/>
        </w:rPr>
        <w:t>Якимівської</w:t>
      </w:r>
      <w:proofErr w:type="spellEnd"/>
      <w:r w:rsidR="00F62610" w:rsidRPr="00F62610">
        <w:rPr>
          <w:rFonts w:ascii="Times New Roman" w:hAnsi="Times New Roman" w:cs="Times New Roman"/>
          <w:sz w:val="28"/>
          <w:szCs w:val="28"/>
          <w:lang w:val="uk-UA"/>
        </w:rPr>
        <w:t xml:space="preserve">  ЗОШ  № 1,    </w:t>
      </w:r>
      <w:proofErr w:type="spellStart"/>
      <w:r w:rsidR="00F62610" w:rsidRPr="00F62610">
        <w:rPr>
          <w:rFonts w:ascii="Times New Roman" w:hAnsi="Times New Roman" w:cs="Times New Roman"/>
          <w:sz w:val="28"/>
          <w:szCs w:val="28"/>
          <w:lang w:val="uk-UA"/>
        </w:rPr>
        <w:t>Петрівської</w:t>
      </w:r>
      <w:proofErr w:type="spellEnd"/>
      <w:r w:rsidR="00F62610" w:rsidRPr="00F62610">
        <w:rPr>
          <w:rFonts w:ascii="Times New Roman" w:hAnsi="Times New Roman" w:cs="Times New Roman"/>
          <w:sz w:val="28"/>
          <w:szCs w:val="28"/>
          <w:lang w:val="uk-UA"/>
        </w:rPr>
        <w:t xml:space="preserve">  ЗОШ,     </w:t>
      </w:r>
      <w:proofErr w:type="spellStart"/>
      <w:r w:rsidR="00F62610" w:rsidRPr="00F62610">
        <w:rPr>
          <w:rFonts w:ascii="Times New Roman" w:hAnsi="Times New Roman" w:cs="Times New Roman"/>
          <w:sz w:val="28"/>
          <w:szCs w:val="28"/>
          <w:lang w:val="uk-UA"/>
        </w:rPr>
        <w:t>Давидівської</w:t>
      </w:r>
      <w:proofErr w:type="spellEnd"/>
      <w:r w:rsidR="00F62610" w:rsidRPr="00F62610">
        <w:rPr>
          <w:rFonts w:ascii="Times New Roman" w:hAnsi="Times New Roman" w:cs="Times New Roman"/>
          <w:sz w:val="28"/>
          <w:szCs w:val="28"/>
          <w:lang w:val="uk-UA"/>
        </w:rPr>
        <w:t xml:space="preserve">  ЗОШ,   Ленінської  ЗОШ,   </w:t>
      </w:r>
      <w:proofErr w:type="spellStart"/>
      <w:r w:rsidR="00F62610" w:rsidRPr="00F62610">
        <w:rPr>
          <w:rFonts w:ascii="Times New Roman" w:hAnsi="Times New Roman" w:cs="Times New Roman"/>
          <w:sz w:val="28"/>
          <w:szCs w:val="28"/>
          <w:lang w:val="uk-UA"/>
        </w:rPr>
        <w:t>Розівської</w:t>
      </w:r>
      <w:proofErr w:type="spellEnd"/>
      <w:r w:rsidR="00F62610" w:rsidRPr="00F62610">
        <w:rPr>
          <w:rFonts w:ascii="Times New Roman" w:hAnsi="Times New Roman" w:cs="Times New Roman"/>
          <w:sz w:val="28"/>
          <w:szCs w:val="28"/>
          <w:lang w:val="uk-UA"/>
        </w:rPr>
        <w:t xml:space="preserve">  ЗОШ ,  </w:t>
      </w:r>
      <w:proofErr w:type="spellStart"/>
      <w:r w:rsidR="00F62610" w:rsidRPr="00F62610">
        <w:rPr>
          <w:rFonts w:ascii="Times New Roman" w:hAnsi="Times New Roman" w:cs="Times New Roman"/>
          <w:sz w:val="28"/>
          <w:szCs w:val="28"/>
          <w:lang w:val="uk-UA"/>
        </w:rPr>
        <w:t>Володимирівської</w:t>
      </w:r>
      <w:proofErr w:type="spellEnd"/>
      <w:r w:rsidR="00F62610" w:rsidRPr="00F62610">
        <w:rPr>
          <w:rFonts w:ascii="Times New Roman" w:hAnsi="Times New Roman" w:cs="Times New Roman"/>
          <w:sz w:val="28"/>
          <w:szCs w:val="28"/>
          <w:lang w:val="uk-UA"/>
        </w:rPr>
        <w:t xml:space="preserve">  ЗОШ,  </w:t>
      </w:r>
      <w:proofErr w:type="spellStart"/>
      <w:r w:rsidR="00F62610" w:rsidRPr="00F62610">
        <w:rPr>
          <w:rFonts w:ascii="Times New Roman" w:hAnsi="Times New Roman" w:cs="Times New Roman"/>
          <w:sz w:val="28"/>
          <w:szCs w:val="28"/>
          <w:lang w:val="uk-UA"/>
        </w:rPr>
        <w:t>Великотернівської</w:t>
      </w:r>
      <w:proofErr w:type="spellEnd"/>
      <w:r w:rsidR="00F62610" w:rsidRPr="00F62610">
        <w:rPr>
          <w:rFonts w:ascii="Times New Roman" w:hAnsi="Times New Roman" w:cs="Times New Roman"/>
          <w:sz w:val="28"/>
          <w:szCs w:val="28"/>
          <w:lang w:val="uk-UA"/>
        </w:rPr>
        <w:t xml:space="preserve">  ЗОШ,  Червоноармійської ЗОШ,  </w:t>
      </w:r>
      <w:proofErr w:type="spellStart"/>
      <w:r w:rsidR="00F62610" w:rsidRPr="00F62610">
        <w:rPr>
          <w:rFonts w:ascii="Times New Roman" w:hAnsi="Times New Roman" w:cs="Times New Roman"/>
          <w:sz w:val="28"/>
          <w:szCs w:val="28"/>
          <w:lang w:val="uk-UA"/>
        </w:rPr>
        <w:t>Охримівської</w:t>
      </w:r>
      <w:proofErr w:type="spellEnd"/>
      <w:r w:rsidR="00F62610" w:rsidRPr="00F62610">
        <w:rPr>
          <w:rFonts w:ascii="Times New Roman" w:hAnsi="Times New Roman" w:cs="Times New Roman"/>
          <w:sz w:val="28"/>
          <w:szCs w:val="28"/>
          <w:lang w:val="uk-UA"/>
        </w:rPr>
        <w:t xml:space="preserve"> ЗОШ.</w:t>
      </w:r>
    </w:p>
    <w:p w:rsidR="00E71A24" w:rsidRPr="002938F8" w:rsidRDefault="00E71A24" w:rsidP="00E71A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61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Результативність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участі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школярів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2938F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інтелектуальних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змаганнях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залишається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низькою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пояснюється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низкою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недоліків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мають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місце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у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викладанні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предмету  та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підготовці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учнів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інтелектуальних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змагань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.  А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саме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71A24" w:rsidRPr="00183D3E" w:rsidRDefault="00E71A24" w:rsidP="00E71A24">
      <w:pPr>
        <w:numPr>
          <w:ilvl w:val="0"/>
          <w:numId w:val="6"/>
        </w:numPr>
        <w:spacing w:after="0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  повністю  виконуються  </w:t>
      </w:r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індивідуальні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програми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для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підготовки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учнів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до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участі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в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предметних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олімпіадах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І-ІІІ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етапів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71A24" w:rsidRPr="002938F8" w:rsidRDefault="00E71A24" w:rsidP="00E71A24">
      <w:pPr>
        <w:numPr>
          <w:ilvl w:val="0"/>
          <w:numId w:val="6"/>
        </w:numPr>
        <w:spacing w:after="0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38F8">
        <w:rPr>
          <w:rFonts w:ascii="Times New Roman" w:hAnsi="Times New Roman" w:cs="Times New Roman"/>
          <w:sz w:val="28"/>
          <w:szCs w:val="28"/>
        </w:rPr>
        <w:t>знизилась</w:t>
      </w:r>
      <w:proofErr w:type="spellEnd"/>
      <w:r w:rsidRPr="0029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8F8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29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8F8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2938F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2938F8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29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8F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9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8F8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2938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938F8">
        <w:rPr>
          <w:rFonts w:ascii="Times New Roman" w:hAnsi="Times New Roman" w:cs="Times New Roman"/>
          <w:sz w:val="28"/>
          <w:szCs w:val="28"/>
        </w:rPr>
        <w:t>конкурс</w:t>
      </w:r>
      <w:proofErr w:type="gramStart"/>
      <w:r w:rsidRPr="002938F8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2938F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</w:p>
    <w:p w:rsidR="00E71A24" w:rsidRPr="002938F8" w:rsidRDefault="00E71A24" w:rsidP="00E71A24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38F8">
        <w:rPr>
          <w:rFonts w:ascii="Times New Roman" w:hAnsi="Times New Roman" w:cs="Times New Roman"/>
          <w:sz w:val="28"/>
          <w:szCs w:val="28"/>
        </w:rPr>
        <w:t>реферативних</w:t>
      </w:r>
      <w:proofErr w:type="spellEnd"/>
      <w:r w:rsidRPr="002938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38F8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29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8F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293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938F8">
        <w:rPr>
          <w:rFonts w:ascii="Times New Roman" w:hAnsi="Times New Roman" w:cs="Times New Roman"/>
          <w:sz w:val="28"/>
          <w:szCs w:val="28"/>
        </w:rPr>
        <w:t xml:space="preserve">МАН,  </w:t>
      </w:r>
      <w:proofErr w:type="spellStart"/>
      <w:r w:rsidRPr="002938F8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Pr="002938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38F8"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 w:rsidRPr="0029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8F8">
        <w:rPr>
          <w:rFonts w:ascii="Times New Roman" w:hAnsi="Times New Roman" w:cs="Times New Roman"/>
          <w:sz w:val="28"/>
          <w:szCs w:val="28"/>
        </w:rPr>
        <w:t>інтелектуальних</w:t>
      </w:r>
      <w:proofErr w:type="spellEnd"/>
      <w:r w:rsidRPr="002938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8F8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Pr="002938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38F8">
        <w:rPr>
          <w:rFonts w:ascii="Times New Roman" w:hAnsi="Times New Roman" w:cs="Times New Roman"/>
          <w:sz w:val="28"/>
          <w:szCs w:val="28"/>
        </w:rPr>
        <w:t>олімпіадах</w:t>
      </w:r>
      <w:proofErr w:type="spellEnd"/>
      <w:r w:rsidRPr="002938F8">
        <w:rPr>
          <w:rFonts w:ascii="Times New Roman" w:hAnsi="Times New Roman" w:cs="Times New Roman"/>
          <w:sz w:val="28"/>
          <w:szCs w:val="28"/>
        </w:rPr>
        <w:t>,</w:t>
      </w:r>
    </w:p>
    <w:p w:rsidR="00E71A24" w:rsidRPr="002938F8" w:rsidRDefault="00E71A24" w:rsidP="00E71A24">
      <w:pPr>
        <w:numPr>
          <w:ilvl w:val="0"/>
          <w:numId w:val="6"/>
        </w:numPr>
        <w:spacing w:after="0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вчителі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спеціалісти</w:t>
      </w:r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вищої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категорії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і </w:t>
      </w: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ті,  що  мають</w:t>
      </w:r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педагогічн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е</w:t>
      </w:r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звання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проявляють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пасивність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та  не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спонукають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учнів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до </w:t>
      </w:r>
      <w:proofErr w:type="spellStart"/>
      <w:proofErr w:type="gramStart"/>
      <w:r w:rsidRPr="002938F8">
        <w:rPr>
          <w:rFonts w:ascii="Times New Roman" w:eastAsia="Calibri" w:hAnsi="Times New Roman" w:cs="Times New Roman"/>
          <w:sz w:val="28"/>
          <w:szCs w:val="28"/>
        </w:rPr>
        <w:t>досл</w:t>
      </w:r>
      <w:proofErr w:type="gramEnd"/>
      <w:r w:rsidRPr="002938F8">
        <w:rPr>
          <w:rFonts w:ascii="Times New Roman" w:eastAsia="Calibri" w:hAnsi="Times New Roman" w:cs="Times New Roman"/>
          <w:sz w:val="28"/>
          <w:szCs w:val="28"/>
        </w:rPr>
        <w:t>ідницької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проектної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71A24" w:rsidRPr="002938F8" w:rsidRDefault="00E71A24" w:rsidP="00E71A24">
      <w:pPr>
        <w:numPr>
          <w:ilvl w:val="0"/>
          <w:numId w:val="6"/>
        </w:numPr>
        <w:spacing w:after="0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інтерес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до  предмету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знижується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також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через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відсутність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належної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2938F8">
        <w:rPr>
          <w:rFonts w:ascii="Times New Roman" w:eastAsia="Calibri" w:hAnsi="Times New Roman" w:cs="Times New Roman"/>
          <w:sz w:val="28"/>
          <w:szCs w:val="28"/>
        </w:rPr>
        <w:t>матер</w:t>
      </w:r>
      <w:proofErr w:type="gramEnd"/>
      <w:r w:rsidRPr="002938F8">
        <w:rPr>
          <w:rFonts w:ascii="Times New Roman" w:eastAsia="Calibri" w:hAnsi="Times New Roman" w:cs="Times New Roman"/>
          <w:sz w:val="28"/>
          <w:szCs w:val="28"/>
        </w:rPr>
        <w:t>іальної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бази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діючих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кабінетів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хімії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71A24" w:rsidRPr="002938F8" w:rsidRDefault="00E71A24" w:rsidP="00E71A24">
      <w:pPr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недостатньо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використовується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комп’ютерне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програмне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забезпечення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та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інноваційні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технології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71A24" w:rsidRPr="002938F8" w:rsidRDefault="00E71A24" w:rsidP="00E71A24">
      <w:pPr>
        <w:numPr>
          <w:ilvl w:val="0"/>
          <w:numId w:val="6"/>
        </w:numPr>
        <w:tabs>
          <w:tab w:val="left" w:pos="1980"/>
          <w:tab w:val="left" w:pos="2880"/>
          <w:tab w:val="left" w:pos="3960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38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недостатньо використовуються інтерактивні методи навчання   та  ІКТ  на уроках хімії.</w:t>
      </w:r>
    </w:p>
    <w:p w:rsidR="006D1C5A" w:rsidRDefault="00E71A24" w:rsidP="009A26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A26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A26D5">
        <w:rPr>
          <w:rFonts w:ascii="Times New Roman" w:hAnsi="Times New Roman" w:cs="Times New Roman"/>
          <w:sz w:val="28"/>
          <w:szCs w:val="28"/>
          <w:lang w:val="uk-UA"/>
        </w:rPr>
        <w:t xml:space="preserve">Для  участі  у  ІІІ  (обласному)  етапі  Всеукраїнської  учнівської  олімпіади з  хімії   сформовано  команду  з   4-х   учнів  (проти  1  в  минулому  навчальному  році)    з    3-х   навчальних закладів  (проти  1 ЗНЗ  в  минулому навчальному  році).   Взяли  участь  у  олімпіаді  двоє  учнів  з  </w:t>
      </w:r>
      <w:proofErr w:type="spellStart"/>
      <w:r w:rsidR="009A26D5">
        <w:rPr>
          <w:rFonts w:ascii="Times New Roman" w:hAnsi="Times New Roman" w:cs="Times New Roman"/>
          <w:sz w:val="28"/>
          <w:szCs w:val="28"/>
          <w:lang w:val="uk-UA"/>
        </w:rPr>
        <w:t>Новоданилівської</w:t>
      </w:r>
      <w:proofErr w:type="spellEnd"/>
      <w:r w:rsidR="009A26D5">
        <w:rPr>
          <w:rFonts w:ascii="Times New Roman" w:hAnsi="Times New Roman" w:cs="Times New Roman"/>
          <w:sz w:val="28"/>
          <w:szCs w:val="28"/>
          <w:lang w:val="uk-UA"/>
        </w:rPr>
        <w:t xml:space="preserve">  ЗОШ  (вчитель  </w:t>
      </w:r>
      <w:proofErr w:type="spellStart"/>
      <w:r w:rsidR="009A26D5">
        <w:rPr>
          <w:rFonts w:ascii="Times New Roman" w:hAnsi="Times New Roman" w:cs="Times New Roman"/>
          <w:sz w:val="28"/>
          <w:szCs w:val="28"/>
          <w:lang w:val="uk-UA"/>
        </w:rPr>
        <w:t>Пахнич</w:t>
      </w:r>
      <w:proofErr w:type="spellEnd"/>
      <w:r w:rsidR="009A26D5">
        <w:rPr>
          <w:rFonts w:ascii="Times New Roman" w:hAnsi="Times New Roman" w:cs="Times New Roman"/>
          <w:sz w:val="28"/>
          <w:szCs w:val="28"/>
          <w:lang w:val="uk-UA"/>
        </w:rPr>
        <w:t xml:space="preserve">  С.В.),   учні  </w:t>
      </w:r>
      <w:proofErr w:type="spellStart"/>
      <w:r w:rsidR="009A26D5">
        <w:rPr>
          <w:rFonts w:ascii="Times New Roman" w:hAnsi="Times New Roman" w:cs="Times New Roman"/>
          <w:sz w:val="28"/>
          <w:szCs w:val="28"/>
          <w:lang w:val="uk-UA"/>
        </w:rPr>
        <w:t>Якимівської</w:t>
      </w:r>
      <w:proofErr w:type="spellEnd"/>
      <w:r w:rsidR="009A26D5">
        <w:rPr>
          <w:rFonts w:ascii="Times New Roman" w:hAnsi="Times New Roman" w:cs="Times New Roman"/>
          <w:sz w:val="28"/>
          <w:szCs w:val="28"/>
          <w:lang w:val="uk-UA"/>
        </w:rPr>
        <w:t xml:space="preserve">  гімназії  (</w:t>
      </w:r>
      <w:proofErr w:type="spellStart"/>
      <w:r w:rsidR="009A26D5">
        <w:rPr>
          <w:rFonts w:ascii="Times New Roman" w:hAnsi="Times New Roman" w:cs="Times New Roman"/>
          <w:sz w:val="28"/>
          <w:szCs w:val="28"/>
          <w:lang w:val="uk-UA"/>
        </w:rPr>
        <w:t>Маркін</w:t>
      </w:r>
      <w:proofErr w:type="spellEnd"/>
      <w:r w:rsidR="009A26D5">
        <w:rPr>
          <w:rFonts w:ascii="Times New Roman" w:hAnsi="Times New Roman" w:cs="Times New Roman"/>
          <w:sz w:val="28"/>
          <w:szCs w:val="28"/>
          <w:lang w:val="uk-UA"/>
        </w:rPr>
        <w:t xml:space="preserve">  М,  вчитель  Павлова  Л.В.)  та  </w:t>
      </w:r>
      <w:proofErr w:type="spellStart"/>
      <w:r w:rsidR="009A26D5">
        <w:rPr>
          <w:rFonts w:ascii="Times New Roman" w:hAnsi="Times New Roman" w:cs="Times New Roman"/>
          <w:sz w:val="28"/>
          <w:szCs w:val="28"/>
          <w:lang w:val="uk-UA"/>
        </w:rPr>
        <w:t>Атманайської</w:t>
      </w:r>
      <w:proofErr w:type="spellEnd"/>
      <w:r w:rsidR="009A26D5">
        <w:rPr>
          <w:rFonts w:ascii="Times New Roman" w:hAnsi="Times New Roman" w:cs="Times New Roman"/>
          <w:sz w:val="28"/>
          <w:szCs w:val="28"/>
          <w:lang w:val="uk-UA"/>
        </w:rPr>
        <w:t xml:space="preserve">  ЗОШ  (</w:t>
      </w:r>
      <w:proofErr w:type="spellStart"/>
      <w:r w:rsidR="009A26D5">
        <w:rPr>
          <w:rFonts w:ascii="Times New Roman" w:hAnsi="Times New Roman" w:cs="Times New Roman"/>
          <w:sz w:val="28"/>
          <w:szCs w:val="28"/>
          <w:lang w:val="uk-UA"/>
        </w:rPr>
        <w:t>Матвієць</w:t>
      </w:r>
      <w:proofErr w:type="spellEnd"/>
      <w:r w:rsidR="009A26D5">
        <w:rPr>
          <w:rFonts w:ascii="Times New Roman" w:hAnsi="Times New Roman" w:cs="Times New Roman"/>
          <w:sz w:val="28"/>
          <w:szCs w:val="28"/>
          <w:lang w:val="uk-UA"/>
        </w:rPr>
        <w:t xml:space="preserve">  В.,  вчитель  Гладка  О.М.)  не  прийняли  участі  у  обласній  олімпіаді.  Результати  участі:  </w:t>
      </w:r>
      <w:r w:rsidR="009A26D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A26D5" w:rsidRPr="00816394">
        <w:rPr>
          <w:rFonts w:ascii="Times New Roman" w:hAnsi="Times New Roman" w:cs="Times New Roman"/>
          <w:sz w:val="28"/>
          <w:szCs w:val="28"/>
        </w:rPr>
        <w:t xml:space="preserve"> </w:t>
      </w:r>
      <w:r w:rsidR="009A26D5">
        <w:rPr>
          <w:rFonts w:ascii="Times New Roman" w:hAnsi="Times New Roman" w:cs="Times New Roman"/>
          <w:sz w:val="28"/>
          <w:szCs w:val="28"/>
          <w:lang w:val="uk-UA"/>
        </w:rPr>
        <w:t xml:space="preserve">місце  -   Боровик  К,  учениця  8  класу,   </w:t>
      </w:r>
      <w:r w:rsidR="009A26D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9A26D5">
        <w:rPr>
          <w:rFonts w:ascii="Times New Roman" w:hAnsi="Times New Roman" w:cs="Times New Roman"/>
          <w:sz w:val="28"/>
          <w:szCs w:val="28"/>
          <w:lang w:val="uk-UA"/>
        </w:rPr>
        <w:t xml:space="preserve">  місце  -  </w:t>
      </w:r>
      <w:proofErr w:type="spellStart"/>
      <w:r w:rsidR="009A26D5">
        <w:rPr>
          <w:rFonts w:ascii="Times New Roman" w:hAnsi="Times New Roman" w:cs="Times New Roman"/>
          <w:sz w:val="28"/>
          <w:szCs w:val="28"/>
          <w:lang w:val="uk-UA"/>
        </w:rPr>
        <w:t>Гороз</w:t>
      </w:r>
      <w:proofErr w:type="spellEnd"/>
      <w:r w:rsidR="009A26D5">
        <w:rPr>
          <w:rFonts w:ascii="Times New Roman" w:hAnsi="Times New Roman" w:cs="Times New Roman"/>
          <w:sz w:val="28"/>
          <w:szCs w:val="28"/>
          <w:lang w:val="uk-UA"/>
        </w:rPr>
        <w:t xml:space="preserve">  О.,   учень  11  класу</w:t>
      </w:r>
      <w:r w:rsidR="00D417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26D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D417A5" w:rsidRPr="006D1C5A" w:rsidRDefault="00D417A5" w:rsidP="00D417A5">
      <w:pPr>
        <w:autoSpaceDE w:val="0"/>
        <w:autoSpaceDN w:val="0"/>
        <w:adjustRightInd w:val="0"/>
        <w:spacing w:after="0"/>
        <w:ind w:right="99" w:firstLine="280"/>
        <w:jc w:val="both"/>
        <w:rPr>
          <w:rFonts w:ascii="SchoolBook_Alx" w:eastAsia="Times New Roman" w:hAnsi="SchoolBook_Alx" w:cs="SchoolBook_Alx"/>
          <w:color w:val="000000"/>
          <w:sz w:val="28"/>
          <w:szCs w:val="28"/>
          <w:lang w:val="uk-UA" w:eastAsia="ru-RU"/>
        </w:rPr>
      </w:pPr>
      <w:r>
        <w:rPr>
          <w:rFonts w:ascii="SchoolBook_Alx" w:eastAsia="Times New Roman" w:hAnsi="SchoolBook_Alx" w:cs="Times New Roman"/>
          <w:sz w:val="28"/>
          <w:szCs w:val="28"/>
          <w:lang w:val="uk-UA" w:eastAsia="ru-RU"/>
        </w:rPr>
        <w:t xml:space="preserve">   </w:t>
      </w:r>
      <w:r w:rsidRPr="006D1C5A">
        <w:rPr>
          <w:rFonts w:ascii="SchoolBook_Alx" w:eastAsia="Times New Roman" w:hAnsi="SchoolBook_Alx" w:cs="Times New Roman"/>
          <w:sz w:val="28"/>
          <w:szCs w:val="28"/>
          <w:lang w:val="uk-UA" w:eastAsia="ru-RU"/>
        </w:rPr>
        <w:t>Відповідно до наказу Міністерства освіти і науки України від 17.08.2013 № 995 «Деякі питання моніторингу якості загальної середньої освіти» та відповідно до листа ДНУ «Інституту інноваційних технологій і змісту освіти» від 27.08.2013 № 14.1/10-2824, наказу Міністерства освіти і науки України від 10.10.2013 № 1412 «</w:t>
      </w:r>
      <w:r w:rsidRPr="006D1C5A">
        <w:rPr>
          <w:rFonts w:ascii="SchoolBook_Alx" w:eastAsia="Times New Roman" w:hAnsi="SchoolBook_Alx" w:cs="SchoolBook_Alx"/>
          <w:color w:val="000000"/>
          <w:sz w:val="28"/>
          <w:szCs w:val="28"/>
          <w:lang w:val="uk-UA" w:eastAsia="ru-RU"/>
        </w:rPr>
        <w:t>Про внесення змін до наказу Міністерства освіти і науки України від 17.07.2013 № 995</w:t>
      </w:r>
      <w:r w:rsidRPr="006D1C5A">
        <w:rPr>
          <w:rFonts w:ascii="SchoolBook_Alx" w:eastAsia="Times New Roman" w:hAnsi="SchoolBook_Alx" w:cs="Times New Roman"/>
          <w:sz w:val="28"/>
          <w:szCs w:val="28"/>
          <w:lang w:val="uk-UA" w:eastAsia="ru-RU"/>
        </w:rPr>
        <w:t xml:space="preserve">», </w:t>
      </w:r>
      <w:r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 в</w:t>
      </w:r>
      <w:r w:rsidRPr="006D1C5A">
        <w:rPr>
          <w:rFonts w:ascii="SchoolBook_Alx" w:eastAsia="Times New Roman" w:hAnsi="SchoolBook_Alx" w:cs="Times New Roman"/>
          <w:sz w:val="28"/>
          <w:szCs w:val="28"/>
          <w:lang w:val="uk-UA" w:eastAsia="ru-RU"/>
        </w:rPr>
        <w:t>иконання наказу Запорізької обласної державної адміністрації управління освіти і науки, молоді та спорту № 797 від 17.09.2013 «Про проведення моніторингового дослідження якості загальної середньої освіти в загальноосвітніх навчальних закладах Запорізької області», було проведено моніторингове дослідження якості загальної середньої освіти за результатами навчання у початковій та основній школі серед учнів 5 та 10 класів.</w:t>
      </w:r>
    </w:p>
    <w:p w:rsidR="006D1C5A" w:rsidRPr="006D1C5A" w:rsidRDefault="006D1C5A" w:rsidP="00D417A5">
      <w:pPr>
        <w:spacing w:after="0"/>
        <w:ind w:right="99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межах дослідження проведено тестування учнів  10-го класів, а також анкетування  вчителів та учнів</w:t>
      </w:r>
      <w:r w:rsidRPr="006D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ході</w:t>
      </w:r>
      <w:r w:rsidRPr="006D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</w:t>
      </w:r>
      <w:r w:rsidRPr="006D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моніторингових</w:t>
      </w:r>
      <w:r w:rsidRPr="006D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досліджень</w:t>
      </w:r>
      <w:r w:rsidRPr="006D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</w:t>
      </w:r>
      <w:r w:rsidRPr="006D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витримані</w:t>
      </w:r>
      <w:r w:rsidRPr="006D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</w:t>
      </w:r>
      <w:r w:rsidRPr="006D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</w:t>
      </w:r>
      <w:proofErr w:type="gramStart"/>
      <w:r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proofErr w:type="gramEnd"/>
      <w:r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ієнічні</w:t>
      </w:r>
      <w:r w:rsidRPr="006D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методичні</w:t>
      </w:r>
      <w:r w:rsidRPr="006D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вимоги</w:t>
      </w:r>
      <w:r w:rsidRPr="006D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</w:t>
      </w:r>
      <w:r w:rsidRPr="006D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організації</w:t>
      </w:r>
      <w:r w:rsidRPr="006D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</w:t>
      </w:r>
      <w:r w:rsidRPr="006D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Методика </w:t>
      </w:r>
      <w:r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</w:t>
      </w:r>
      <w:r w:rsidRPr="006D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моніторингу</w:t>
      </w:r>
      <w:r w:rsidRPr="006D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порушувалась</w:t>
      </w:r>
      <w:r w:rsidRPr="006D1C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учнів вчителі оцінювали керуючись наданими рекомендаціями.</w:t>
      </w:r>
    </w:p>
    <w:p w:rsidR="006D1C5A" w:rsidRPr="006D1C5A" w:rsidRDefault="006D1C5A" w:rsidP="00D417A5">
      <w:pPr>
        <w:spacing w:after="0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Моніторингові дослідження  були проведені за посібниками, рекомендованими  Міністерством  освіти і науки України. Дослідження проходили в формі тестів.</w:t>
      </w:r>
    </w:p>
    <w:p w:rsidR="006D1C5A" w:rsidRPr="006D1C5A" w:rsidRDefault="006D1C5A" w:rsidP="00D417A5">
      <w:pPr>
        <w:spacing w:after="0"/>
        <w:ind w:left="1068" w:right="9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1C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Результати моніторингу якості середньої освіти в 10 класі</w:t>
      </w:r>
    </w:p>
    <w:p w:rsidR="00D417A5" w:rsidRDefault="006D1C5A" w:rsidP="00D417A5">
      <w:pPr>
        <w:spacing w:after="0"/>
        <w:ind w:left="-180"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Порівняльний аналіз моніторингових робіт у 10 класі  показав рівень сформованості знань, умінь і навичок учнів з </w:t>
      </w:r>
      <w:r w:rsidR="00D41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хімії</w:t>
      </w:r>
      <w:r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41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41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валіметричний</w:t>
      </w:r>
      <w:proofErr w:type="spellEnd"/>
      <w:r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показник  </w:t>
      </w:r>
      <w:r w:rsidR="00D41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 хімії  у  порівнянні з результатами  року  (табл. 1)</w:t>
      </w:r>
    </w:p>
    <w:p w:rsidR="006D1C5A" w:rsidRPr="006D1C5A" w:rsidRDefault="006D1C5A" w:rsidP="00D417A5">
      <w:pPr>
        <w:spacing w:after="0"/>
        <w:ind w:left="-180" w:right="99" w:firstLine="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 </w:t>
      </w:r>
      <w:r w:rsidR="00D41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tbl>
      <w:tblPr>
        <w:tblStyle w:val="11"/>
        <w:tblW w:w="0" w:type="auto"/>
        <w:jc w:val="center"/>
        <w:tblInd w:w="-972" w:type="dxa"/>
        <w:tblLook w:val="01E0" w:firstRow="1" w:lastRow="1" w:firstColumn="1" w:lastColumn="1" w:noHBand="0" w:noVBand="0"/>
      </w:tblPr>
      <w:tblGrid>
        <w:gridCol w:w="555"/>
        <w:gridCol w:w="4548"/>
        <w:gridCol w:w="2410"/>
        <w:gridCol w:w="2693"/>
      </w:tblGrid>
      <w:tr w:rsidR="006D1C5A" w:rsidRPr="006D1C5A" w:rsidTr="00610945">
        <w:trPr>
          <w:jc w:val="center"/>
        </w:trPr>
        <w:tc>
          <w:tcPr>
            <w:tcW w:w="555" w:type="dxa"/>
          </w:tcPr>
          <w:p w:rsidR="006D1C5A" w:rsidRPr="006D1C5A" w:rsidRDefault="006D1C5A" w:rsidP="00D417A5">
            <w:pPr>
              <w:spacing w:line="276" w:lineRule="auto"/>
              <w:ind w:right="99"/>
              <w:jc w:val="both"/>
              <w:rPr>
                <w:sz w:val="24"/>
                <w:szCs w:val="24"/>
                <w:lang w:val="uk-UA"/>
              </w:rPr>
            </w:pPr>
            <w:r w:rsidRPr="006D1C5A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548" w:type="dxa"/>
          </w:tcPr>
          <w:p w:rsidR="006D1C5A" w:rsidRPr="006D1C5A" w:rsidRDefault="006D1C5A" w:rsidP="00D417A5">
            <w:pPr>
              <w:spacing w:line="276" w:lineRule="auto"/>
              <w:ind w:right="99"/>
              <w:jc w:val="both"/>
              <w:rPr>
                <w:sz w:val="24"/>
                <w:szCs w:val="24"/>
                <w:lang w:val="uk-UA"/>
              </w:rPr>
            </w:pPr>
            <w:r w:rsidRPr="006D1C5A">
              <w:rPr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410" w:type="dxa"/>
          </w:tcPr>
          <w:p w:rsidR="006D1C5A" w:rsidRPr="006D1C5A" w:rsidRDefault="006D1C5A" w:rsidP="00D417A5">
            <w:pPr>
              <w:spacing w:line="276" w:lineRule="auto"/>
              <w:ind w:right="99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D1C5A">
              <w:rPr>
                <w:sz w:val="24"/>
                <w:szCs w:val="24"/>
                <w:lang w:val="uk-UA"/>
              </w:rPr>
              <w:t>Кваліметричний</w:t>
            </w:r>
            <w:proofErr w:type="spellEnd"/>
            <w:r w:rsidRPr="006D1C5A">
              <w:rPr>
                <w:sz w:val="24"/>
                <w:szCs w:val="24"/>
                <w:lang w:val="uk-UA"/>
              </w:rPr>
              <w:t xml:space="preserve"> показник (річне оцінювання)</w:t>
            </w:r>
          </w:p>
        </w:tc>
        <w:tc>
          <w:tcPr>
            <w:tcW w:w="2693" w:type="dxa"/>
          </w:tcPr>
          <w:p w:rsidR="006D1C5A" w:rsidRPr="006D1C5A" w:rsidRDefault="006D1C5A" w:rsidP="00D417A5">
            <w:pPr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proofErr w:type="spellStart"/>
            <w:r w:rsidRPr="006D1C5A">
              <w:rPr>
                <w:sz w:val="24"/>
                <w:szCs w:val="24"/>
                <w:lang w:val="uk-UA"/>
              </w:rPr>
              <w:t>Кваліметричний</w:t>
            </w:r>
            <w:proofErr w:type="spellEnd"/>
            <w:r w:rsidRPr="006D1C5A">
              <w:rPr>
                <w:sz w:val="24"/>
                <w:szCs w:val="24"/>
                <w:lang w:val="uk-UA"/>
              </w:rPr>
              <w:t xml:space="preserve"> показник (моніторингового дослідження)</w:t>
            </w:r>
          </w:p>
        </w:tc>
      </w:tr>
      <w:tr w:rsidR="00610945" w:rsidRPr="006D1C5A" w:rsidTr="00610945">
        <w:trPr>
          <w:jc w:val="center"/>
        </w:trPr>
        <w:tc>
          <w:tcPr>
            <w:tcW w:w="555" w:type="dxa"/>
          </w:tcPr>
          <w:p w:rsidR="00610945" w:rsidRPr="006D1C5A" w:rsidRDefault="00610945" w:rsidP="00D417A5">
            <w:pPr>
              <w:spacing w:line="276" w:lineRule="auto"/>
              <w:ind w:right="99"/>
              <w:jc w:val="both"/>
              <w:rPr>
                <w:sz w:val="24"/>
                <w:szCs w:val="24"/>
                <w:lang w:val="uk-UA"/>
              </w:rPr>
            </w:pPr>
            <w:r w:rsidRPr="006D1C5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548" w:type="dxa"/>
          </w:tcPr>
          <w:p w:rsidR="00610945" w:rsidRPr="006D1C5A" w:rsidRDefault="00610945" w:rsidP="00D417A5">
            <w:pPr>
              <w:spacing w:line="276" w:lineRule="auto"/>
              <w:ind w:right="99"/>
              <w:jc w:val="both"/>
              <w:rPr>
                <w:sz w:val="24"/>
                <w:szCs w:val="24"/>
                <w:lang w:val="uk-UA"/>
              </w:rPr>
            </w:pPr>
            <w:r w:rsidRPr="006D1C5A"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410" w:type="dxa"/>
          </w:tcPr>
          <w:p w:rsidR="00610945" w:rsidRPr="006D1C5A" w:rsidRDefault="00610945" w:rsidP="00D417A5">
            <w:pPr>
              <w:spacing w:line="276" w:lineRule="auto"/>
              <w:ind w:right="99"/>
              <w:jc w:val="both"/>
              <w:rPr>
                <w:sz w:val="24"/>
                <w:szCs w:val="24"/>
                <w:lang w:val="uk-UA"/>
              </w:rPr>
            </w:pPr>
            <w:r w:rsidRPr="006D1C5A">
              <w:rPr>
                <w:sz w:val="24"/>
                <w:szCs w:val="24"/>
                <w:lang w:val="uk-UA"/>
              </w:rPr>
              <w:t>0,609</w:t>
            </w:r>
          </w:p>
        </w:tc>
        <w:tc>
          <w:tcPr>
            <w:tcW w:w="2693" w:type="dxa"/>
          </w:tcPr>
          <w:p w:rsidR="00610945" w:rsidRPr="006D1C5A" w:rsidRDefault="00610945" w:rsidP="00D417A5">
            <w:pPr>
              <w:spacing w:line="276" w:lineRule="auto"/>
              <w:ind w:right="99"/>
              <w:jc w:val="both"/>
              <w:rPr>
                <w:sz w:val="24"/>
                <w:szCs w:val="24"/>
                <w:lang w:val="uk-UA"/>
              </w:rPr>
            </w:pPr>
            <w:r w:rsidRPr="006D1C5A">
              <w:rPr>
                <w:sz w:val="24"/>
                <w:szCs w:val="24"/>
                <w:lang w:val="uk-UA"/>
              </w:rPr>
              <w:t>0,621</w:t>
            </w:r>
          </w:p>
        </w:tc>
      </w:tr>
    </w:tbl>
    <w:p w:rsidR="006D1C5A" w:rsidRPr="006D1C5A" w:rsidRDefault="006D1C5A" w:rsidP="00D417A5">
      <w:pPr>
        <w:spacing w:after="0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Моніторингові дослідження навчальних досягнень з хімії учнів 10-х класів загальноосвітніх навчальних закладів показали незначне збільшення їх рівня. Як </w:t>
      </w:r>
      <w:r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видно з діаграми (ріс.</w:t>
      </w:r>
      <w:r w:rsidR="00931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bookmarkStart w:id="0" w:name="_GoBack"/>
      <w:bookmarkEnd w:id="0"/>
      <w:r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високий та достатній рівень навчальних досягнень показали 119 (62%) учнів, початковий 11 (6%) учнів, а виконувало роботу 192 учнів,  їх відсоток від загальної кількості учнів даної паралелі навчальних закладів складає 89,7%. Районний показник навченості підвищився на +0,012 (з 0,609 до 0,621). </w:t>
      </w:r>
    </w:p>
    <w:p w:rsidR="006D1C5A" w:rsidRPr="006D1C5A" w:rsidRDefault="006D1C5A" w:rsidP="00D417A5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0275" cy="182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C5A" w:rsidRPr="006D1C5A" w:rsidRDefault="006D1C5A" w:rsidP="00D417A5">
      <w:pPr>
        <w:spacing w:after="0"/>
        <w:ind w:right="9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D1C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Ріс.</w:t>
      </w:r>
      <w:r w:rsidR="00D417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6D1C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Загальні результати рівня навченості з хімії учнів 10-х класів загальноосвітніх закладах </w:t>
      </w:r>
      <w:proofErr w:type="spellStart"/>
      <w:r w:rsidRPr="006D1C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Якимівського</w:t>
      </w:r>
      <w:proofErr w:type="spellEnd"/>
      <w:r w:rsidRPr="006D1C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району (у %).</w:t>
      </w:r>
    </w:p>
    <w:p w:rsidR="006D1C5A" w:rsidRPr="006D1C5A" w:rsidRDefault="00D417A5" w:rsidP="00D417A5">
      <w:pPr>
        <w:spacing w:after="0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6D1C5A"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Найнижчі показники показали учні </w:t>
      </w:r>
      <w:proofErr w:type="spellStart"/>
      <w:r w:rsidR="006D1C5A"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Давидівської</w:t>
      </w:r>
      <w:proofErr w:type="spellEnd"/>
      <w:r w:rsidR="006D1C5A"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(0,41), </w:t>
      </w:r>
      <w:proofErr w:type="spellStart"/>
      <w:r w:rsidR="006D1C5A"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Чорноземненської</w:t>
      </w:r>
      <w:proofErr w:type="spellEnd"/>
      <w:r w:rsidR="006D1C5A"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(0,41) та </w:t>
      </w:r>
      <w:proofErr w:type="spellStart"/>
      <w:r w:rsidR="006D1C5A"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Переможненської</w:t>
      </w:r>
      <w:proofErr w:type="spellEnd"/>
      <w:r w:rsidR="006D1C5A"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(0,438). Найвищі показники в учнів </w:t>
      </w:r>
      <w:proofErr w:type="spellStart"/>
      <w:r w:rsidR="006D1C5A"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Охрімівської</w:t>
      </w:r>
      <w:proofErr w:type="spellEnd"/>
      <w:r w:rsidR="006D1C5A"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(0,799) та НВК «</w:t>
      </w:r>
      <w:proofErr w:type="spellStart"/>
      <w:r w:rsidR="006D1C5A"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Якимівська</w:t>
      </w:r>
      <w:proofErr w:type="spellEnd"/>
      <w:r w:rsidR="006D1C5A"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гімназія» (0,799). Динаміка навченості зовсім не змінилась у таких школах, як Горьківська ЗОШ (0,545), Ленінська ЗОШ (0,535), </w:t>
      </w:r>
      <w:proofErr w:type="spellStart"/>
      <w:r w:rsidR="006D1C5A"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Охрімівська</w:t>
      </w:r>
      <w:proofErr w:type="spellEnd"/>
      <w:r w:rsidR="006D1C5A"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(0,799), </w:t>
      </w:r>
      <w:proofErr w:type="spellStart"/>
      <w:r w:rsidR="006D1C5A"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Розівська</w:t>
      </w:r>
      <w:proofErr w:type="spellEnd"/>
      <w:r w:rsidR="006D1C5A"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(0,473), </w:t>
      </w:r>
      <w:proofErr w:type="spellStart"/>
      <w:r w:rsidR="006D1C5A"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Чорноземненська</w:t>
      </w:r>
      <w:proofErr w:type="spellEnd"/>
      <w:r w:rsidR="006D1C5A"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(0,41), Червоноармійська ЗОШ (0,589) та </w:t>
      </w:r>
      <w:proofErr w:type="spellStart"/>
      <w:r w:rsidR="006D1C5A"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Шелюгівська</w:t>
      </w:r>
      <w:proofErr w:type="spellEnd"/>
      <w:r w:rsidR="006D1C5A"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(0,517) (ріс.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D1C5A"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6D1C5A" w:rsidRPr="006D1C5A" w:rsidRDefault="006D1C5A" w:rsidP="006D1C5A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4550" cy="194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7A5" w:rsidRDefault="006D1C5A" w:rsidP="00D417A5">
      <w:pPr>
        <w:spacing w:after="0"/>
        <w:ind w:right="9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D1C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Ріс.</w:t>
      </w:r>
      <w:r w:rsidR="00D417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6D1C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Динаміка змін показника рівня навченості учнів 10-х класів з хімії  </w:t>
      </w:r>
    </w:p>
    <w:p w:rsidR="006D1C5A" w:rsidRPr="006D1C5A" w:rsidRDefault="006D1C5A" w:rsidP="00D417A5">
      <w:pPr>
        <w:spacing w:after="0"/>
        <w:ind w:right="9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D1C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 </w:t>
      </w:r>
      <w:proofErr w:type="spellStart"/>
      <w:r w:rsidRPr="006D1C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Якимівському</w:t>
      </w:r>
      <w:proofErr w:type="spellEnd"/>
      <w:r w:rsidRPr="006D1C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району.</w:t>
      </w:r>
    </w:p>
    <w:p w:rsidR="006D1C5A" w:rsidRPr="006D1C5A" w:rsidRDefault="006D1C5A" w:rsidP="00D417A5">
      <w:pPr>
        <w:spacing w:after="0"/>
        <w:ind w:right="9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Найбільше помилок було при встановленні генетичних ланцюгів (складання рівнянь хімічних реакцій) та визначення ступенів окислення. Виходячи з аналізу результатів моніторингу з хімії в 10 класі, вчителям необхідно: </w:t>
      </w:r>
    </w:p>
    <w:p w:rsidR="006D1C5A" w:rsidRPr="006D1C5A" w:rsidRDefault="006D1C5A" w:rsidP="00D417A5">
      <w:pPr>
        <w:numPr>
          <w:ilvl w:val="0"/>
          <w:numId w:val="14"/>
        </w:numPr>
        <w:spacing w:after="0"/>
        <w:ind w:right="9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формувати вміння встановлювати генетичний зв</w:t>
      </w:r>
      <w:r w:rsidRPr="006D1C5A">
        <w:rPr>
          <w:rFonts w:ascii="Arial" w:eastAsia="Times New Roman" w:hAnsi="Arial" w:cs="Arial" w:hint="cs"/>
          <w:sz w:val="28"/>
          <w:szCs w:val="28"/>
          <w:lang w:val="uk-UA" w:eastAsia="ru-RU"/>
        </w:rPr>
        <w:t>'</w:t>
      </w:r>
      <w:r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язок між простими і складними речовинами, класами неорганічних сполук;</w:t>
      </w:r>
    </w:p>
    <w:p w:rsidR="006D1C5A" w:rsidRPr="006D1C5A" w:rsidRDefault="006D1C5A" w:rsidP="00D417A5">
      <w:pPr>
        <w:numPr>
          <w:ilvl w:val="0"/>
          <w:numId w:val="14"/>
        </w:numPr>
        <w:spacing w:after="0"/>
        <w:ind w:right="9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розвивати в учнів вміння використовувати хімічні знання на практиці;</w:t>
      </w:r>
    </w:p>
    <w:p w:rsidR="006D1C5A" w:rsidRPr="006D1C5A" w:rsidRDefault="006D1C5A" w:rsidP="00D417A5">
      <w:pPr>
        <w:numPr>
          <w:ilvl w:val="0"/>
          <w:numId w:val="14"/>
        </w:numPr>
        <w:spacing w:after="0"/>
        <w:ind w:right="9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звернути особливу увагу на повторення тем 8 класу «Основні класи неорганічних сполук» та 9 класу «Хімічні реакції»;</w:t>
      </w:r>
    </w:p>
    <w:p w:rsidR="00E71A24" w:rsidRPr="0064714B" w:rsidRDefault="006D1C5A" w:rsidP="009A26D5">
      <w:pPr>
        <w:numPr>
          <w:ilvl w:val="0"/>
          <w:numId w:val="14"/>
        </w:numPr>
        <w:spacing w:after="0"/>
        <w:ind w:right="99"/>
        <w:rPr>
          <w:rFonts w:ascii="Times New Roman" w:hAnsi="Times New Roman" w:cs="Times New Roman"/>
          <w:sz w:val="28"/>
          <w:szCs w:val="28"/>
          <w:lang w:val="uk-UA"/>
        </w:rPr>
      </w:pPr>
      <w:r w:rsidRPr="00647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постійно на уроках повторювати хімічні терміни і формули та розв</w:t>
      </w:r>
      <w:r w:rsidRPr="0064714B">
        <w:rPr>
          <w:rFonts w:ascii="Arial" w:eastAsia="Times New Roman" w:hAnsi="Arial" w:cs="Arial" w:hint="cs"/>
          <w:sz w:val="28"/>
          <w:szCs w:val="28"/>
          <w:lang w:val="uk-UA" w:eastAsia="ru-RU"/>
        </w:rPr>
        <w:t>'</w:t>
      </w:r>
      <w:r w:rsidRPr="00647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язувати задачі.</w:t>
      </w:r>
      <w:r w:rsidR="009A26D5" w:rsidRPr="006471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E71A24" w:rsidRPr="006471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1A24" w:rsidRPr="002938F8" w:rsidRDefault="00E71A24" w:rsidP="00E71A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В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наступному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навчальному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році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(201</w:t>
      </w:r>
      <w:r w:rsidR="009A26D5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938F8">
        <w:rPr>
          <w:rFonts w:ascii="Times New Roman" w:eastAsia="Calibri" w:hAnsi="Times New Roman" w:cs="Times New Roman"/>
          <w:sz w:val="28"/>
          <w:szCs w:val="28"/>
        </w:rPr>
        <w:t>-201</w:t>
      </w:r>
      <w:r w:rsidR="009A26D5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н.р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.)  </w:t>
      </w:r>
      <w:proofErr w:type="gramStart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РМО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вчителів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хімії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зосередить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увагу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на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вирішенні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таких  </w:t>
      </w:r>
      <w:proofErr w:type="spellStart"/>
      <w:r w:rsidRPr="002938F8">
        <w:rPr>
          <w:rFonts w:ascii="Times New Roman" w:eastAsia="Calibri" w:hAnsi="Times New Roman" w:cs="Times New Roman"/>
          <w:sz w:val="28"/>
          <w:szCs w:val="28"/>
        </w:rPr>
        <w:t>завдань</w:t>
      </w:r>
      <w:proofErr w:type="spellEnd"/>
      <w:r w:rsidRPr="002938F8">
        <w:rPr>
          <w:rFonts w:ascii="Times New Roman" w:eastAsia="Calibri" w:hAnsi="Times New Roman" w:cs="Times New Roman"/>
          <w:sz w:val="28"/>
          <w:szCs w:val="28"/>
        </w:rPr>
        <w:t>:</w:t>
      </w:r>
      <w:r w:rsidRPr="002938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4714B" w:rsidRPr="002938F8" w:rsidRDefault="00D85436" w:rsidP="0064714B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вати </w:t>
      </w: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сучасн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стил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педагогічного мислення вчителя (таких рис як системність, комплексність, конкретність, почуття міри, гнучкість, мобільність)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готовність до професійного самовдосконалення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роботи над собою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71A24" w:rsidRPr="002938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714B" w:rsidRPr="006471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розробити </w:t>
      </w:r>
      <w:r w:rsidR="0064714B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 втілити  в  практику  роботи, </w:t>
      </w:r>
      <w:r w:rsidR="0064714B" w:rsidRPr="006471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програми  роботи  з  обдарованими  учнями,     з  урахуванням  особистості  учнів,  залучати  вчителів </w:t>
      </w:r>
      <w:r w:rsidR="006471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4714B" w:rsidRPr="006471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організації  науково – дослідницької  діяльності</w:t>
      </w:r>
      <w:r w:rsidR="0064714B" w:rsidRPr="0029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школярів</w:t>
      </w:r>
      <w:r w:rsidR="0064714B" w:rsidRPr="006471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4714B" w:rsidRPr="002938F8">
        <w:rPr>
          <w:rFonts w:ascii="Times New Roman" w:hAnsi="Times New Roman" w:cs="Times New Roman"/>
          <w:color w:val="000000"/>
          <w:sz w:val="28"/>
          <w:szCs w:val="28"/>
        </w:rPr>
        <w:t>підвищувати</w:t>
      </w:r>
      <w:proofErr w:type="spellEnd"/>
      <w:r w:rsidR="0064714B" w:rsidRPr="002938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714B" w:rsidRPr="002938F8">
        <w:rPr>
          <w:rFonts w:ascii="Times New Roman" w:hAnsi="Times New Roman" w:cs="Times New Roman"/>
          <w:color w:val="000000"/>
          <w:sz w:val="28"/>
          <w:szCs w:val="28"/>
        </w:rPr>
        <w:t>освітню</w:t>
      </w:r>
      <w:proofErr w:type="spellEnd"/>
      <w:r w:rsidR="0064714B" w:rsidRPr="002938F8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="0064714B" w:rsidRPr="002938F8">
        <w:rPr>
          <w:rFonts w:ascii="Times New Roman" w:hAnsi="Times New Roman" w:cs="Times New Roman"/>
          <w:color w:val="000000"/>
          <w:sz w:val="28"/>
          <w:szCs w:val="28"/>
        </w:rPr>
        <w:t>професійну</w:t>
      </w:r>
      <w:proofErr w:type="spellEnd"/>
      <w:r w:rsidR="0064714B" w:rsidRPr="002938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4714B" w:rsidRPr="002938F8">
        <w:rPr>
          <w:rFonts w:ascii="Times New Roman" w:hAnsi="Times New Roman" w:cs="Times New Roman"/>
          <w:color w:val="000000"/>
          <w:sz w:val="28"/>
          <w:szCs w:val="28"/>
        </w:rPr>
        <w:t>творчу</w:t>
      </w:r>
      <w:proofErr w:type="spellEnd"/>
      <w:r w:rsidR="0064714B" w:rsidRPr="002938F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64714B" w:rsidRPr="002938F8">
        <w:rPr>
          <w:rFonts w:ascii="Times New Roman" w:hAnsi="Times New Roman" w:cs="Times New Roman"/>
          <w:color w:val="000000"/>
          <w:sz w:val="28"/>
          <w:szCs w:val="28"/>
        </w:rPr>
        <w:t>компетентністі</w:t>
      </w:r>
      <w:proofErr w:type="spellEnd"/>
      <w:r w:rsidR="0064714B" w:rsidRPr="002938F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64714B" w:rsidRPr="002938F8">
        <w:rPr>
          <w:rFonts w:ascii="Times New Roman" w:hAnsi="Times New Roman" w:cs="Times New Roman"/>
          <w:color w:val="000000"/>
          <w:sz w:val="28"/>
          <w:szCs w:val="28"/>
        </w:rPr>
        <w:t>вчителів</w:t>
      </w:r>
      <w:proofErr w:type="spellEnd"/>
      <w:r w:rsidR="0064714B" w:rsidRPr="002938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714B" w:rsidRPr="002938F8">
        <w:rPr>
          <w:rFonts w:ascii="Times New Roman" w:hAnsi="Times New Roman" w:cs="Times New Roman"/>
          <w:color w:val="000000"/>
          <w:sz w:val="28"/>
          <w:szCs w:val="28"/>
        </w:rPr>
        <w:t>хімії</w:t>
      </w:r>
      <w:proofErr w:type="spellEnd"/>
      <w:r w:rsidR="0064714B" w:rsidRPr="002938F8">
        <w:rPr>
          <w:rFonts w:ascii="Times New Roman" w:hAnsi="Times New Roman" w:cs="Times New Roman"/>
          <w:color w:val="000000"/>
          <w:sz w:val="28"/>
          <w:szCs w:val="28"/>
        </w:rPr>
        <w:t xml:space="preserve">   району  через  участь  в  </w:t>
      </w:r>
      <w:proofErr w:type="spellStart"/>
      <w:r w:rsidR="0064714B" w:rsidRPr="002938F8">
        <w:rPr>
          <w:rFonts w:ascii="Times New Roman" w:hAnsi="Times New Roman" w:cs="Times New Roman"/>
          <w:color w:val="000000"/>
          <w:sz w:val="28"/>
          <w:szCs w:val="28"/>
        </w:rPr>
        <w:t>роботі</w:t>
      </w:r>
      <w:proofErr w:type="spellEnd"/>
      <w:r w:rsidR="0064714B" w:rsidRPr="002938F8">
        <w:rPr>
          <w:rFonts w:ascii="Times New Roman" w:hAnsi="Times New Roman" w:cs="Times New Roman"/>
          <w:color w:val="000000"/>
          <w:sz w:val="28"/>
          <w:szCs w:val="28"/>
        </w:rPr>
        <w:t xml:space="preserve">  РМО  та  </w:t>
      </w:r>
      <w:proofErr w:type="spellStart"/>
      <w:r w:rsidR="0064714B" w:rsidRPr="002938F8">
        <w:rPr>
          <w:rFonts w:ascii="Times New Roman" w:hAnsi="Times New Roman" w:cs="Times New Roman"/>
          <w:color w:val="000000"/>
          <w:sz w:val="28"/>
          <w:szCs w:val="28"/>
        </w:rPr>
        <w:t>самоосвіту</w:t>
      </w:r>
      <w:proofErr w:type="spellEnd"/>
      <w:r w:rsidR="0064714B" w:rsidRPr="002938F8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64714B" w:rsidRPr="002938F8" w:rsidRDefault="0064714B" w:rsidP="0064714B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8F8">
        <w:rPr>
          <w:rFonts w:ascii="Times New Roman" w:hAnsi="Times New Roman" w:cs="Times New Roman"/>
          <w:color w:val="000000"/>
          <w:sz w:val="28"/>
          <w:szCs w:val="28"/>
        </w:rPr>
        <w:t>вивчати</w:t>
      </w:r>
      <w:proofErr w:type="spellEnd"/>
      <w:r w:rsidRPr="002938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38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Pr="002938F8">
        <w:rPr>
          <w:rFonts w:ascii="Times New Roman" w:hAnsi="Times New Roman" w:cs="Times New Roman"/>
          <w:color w:val="000000"/>
          <w:sz w:val="28"/>
          <w:szCs w:val="28"/>
        </w:rPr>
        <w:t>змі</w:t>
      </w:r>
      <w:proofErr w:type="gramStart"/>
      <w:r w:rsidRPr="002938F8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2938F8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2938F8">
        <w:rPr>
          <w:rFonts w:ascii="Times New Roman" w:hAnsi="Times New Roman" w:cs="Times New Roman"/>
          <w:color w:val="000000"/>
          <w:sz w:val="28"/>
          <w:szCs w:val="28"/>
        </w:rPr>
        <w:t>технології</w:t>
      </w:r>
      <w:proofErr w:type="spellEnd"/>
      <w:r w:rsidRPr="002938F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938F8">
        <w:rPr>
          <w:rFonts w:ascii="Times New Roman" w:hAnsi="Times New Roman" w:cs="Times New Roman"/>
          <w:color w:val="000000"/>
          <w:sz w:val="28"/>
          <w:szCs w:val="28"/>
        </w:rPr>
        <w:t>методи</w:t>
      </w:r>
      <w:proofErr w:type="spellEnd"/>
      <w:r w:rsidRPr="002938F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2938F8">
        <w:rPr>
          <w:rFonts w:ascii="Times New Roman" w:hAnsi="Times New Roman" w:cs="Times New Roman"/>
          <w:color w:val="000000"/>
          <w:sz w:val="28"/>
          <w:szCs w:val="28"/>
        </w:rPr>
        <w:t>педагогічної</w:t>
      </w:r>
      <w:proofErr w:type="spellEnd"/>
      <w:r w:rsidRPr="002938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38F8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2938F8">
        <w:rPr>
          <w:rFonts w:ascii="Times New Roman" w:hAnsi="Times New Roman" w:cs="Times New Roman"/>
          <w:color w:val="000000"/>
          <w:sz w:val="28"/>
          <w:szCs w:val="28"/>
        </w:rPr>
        <w:t xml:space="preserve"> з   предмету, </w:t>
      </w:r>
      <w:r w:rsidRPr="002938F8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64714B" w:rsidRPr="002938F8" w:rsidRDefault="0064714B" w:rsidP="0064714B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8F8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2938F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2938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38F8">
        <w:rPr>
          <w:rFonts w:ascii="Times New Roman" w:hAnsi="Times New Roman" w:cs="Times New Roman"/>
          <w:sz w:val="28"/>
          <w:szCs w:val="28"/>
        </w:rPr>
        <w:t>ізноманітні</w:t>
      </w:r>
      <w:proofErr w:type="spellEnd"/>
      <w:r w:rsidRPr="0029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8F8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29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8F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938F8">
        <w:rPr>
          <w:rFonts w:ascii="Times New Roman" w:hAnsi="Times New Roman" w:cs="Times New Roman"/>
          <w:sz w:val="28"/>
          <w:szCs w:val="28"/>
        </w:rPr>
        <w:t xml:space="preserve"> РМО для  </w:t>
      </w:r>
      <w:proofErr w:type="spellStart"/>
      <w:r w:rsidRPr="002938F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2938F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938F8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2938F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938F8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2938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38F8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2938F8">
        <w:rPr>
          <w:rFonts w:ascii="Times New Roman" w:hAnsi="Times New Roman" w:cs="Times New Roman"/>
          <w:sz w:val="28"/>
          <w:szCs w:val="28"/>
        </w:rPr>
        <w:t xml:space="preserve">,   культурного  </w:t>
      </w:r>
      <w:proofErr w:type="spellStart"/>
      <w:r w:rsidRPr="002938F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2938F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938F8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4714B" w:rsidRPr="0064714B" w:rsidRDefault="0064714B" w:rsidP="0064714B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4714B">
        <w:rPr>
          <w:rFonts w:ascii="Times New Roman" w:eastAsia="Calibri" w:hAnsi="Times New Roman" w:cs="Times New Roman"/>
          <w:sz w:val="28"/>
          <w:szCs w:val="28"/>
        </w:rPr>
        <w:t>поширювати</w:t>
      </w:r>
      <w:proofErr w:type="spellEnd"/>
      <w:r w:rsidRPr="006471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64714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64714B">
        <w:rPr>
          <w:rFonts w:ascii="Times New Roman" w:eastAsia="Calibri" w:hAnsi="Times New Roman" w:cs="Times New Roman"/>
          <w:sz w:val="28"/>
          <w:szCs w:val="28"/>
        </w:rPr>
        <w:t>передовий</w:t>
      </w:r>
      <w:proofErr w:type="spellEnd"/>
      <w:r w:rsidRPr="0064714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471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4714B">
        <w:rPr>
          <w:rFonts w:ascii="Times New Roman" w:eastAsia="Calibri" w:hAnsi="Times New Roman" w:cs="Times New Roman"/>
          <w:sz w:val="28"/>
          <w:szCs w:val="28"/>
        </w:rPr>
        <w:t>педагогічний</w:t>
      </w:r>
      <w:proofErr w:type="spellEnd"/>
      <w:r w:rsidRPr="0064714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471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714B">
        <w:rPr>
          <w:rFonts w:ascii="Times New Roman" w:eastAsia="Calibri" w:hAnsi="Times New Roman" w:cs="Times New Roman"/>
          <w:sz w:val="28"/>
          <w:szCs w:val="28"/>
        </w:rPr>
        <w:t>досвід</w:t>
      </w:r>
      <w:proofErr w:type="spellEnd"/>
      <w:r w:rsidRPr="0064714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64714B">
        <w:rPr>
          <w:rFonts w:ascii="Times New Roman" w:eastAsia="Calibri" w:hAnsi="Times New Roman" w:cs="Times New Roman"/>
          <w:sz w:val="28"/>
          <w:szCs w:val="28"/>
        </w:rPr>
        <w:t>вчителів</w:t>
      </w:r>
      <w:proofErr w:type="spellEnd"/>
      <w:r w:rsidRPr="006471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714B">
        <w:rPr>
          <w:rFonts w:ascii="Times New Roman" w:eastAsia="Calibri" w:hAnsi="Times New Roman" w:cs="Times New Roman"/>
          <w:sz w:val="28"/>
          <w:szCs w:val="28"/>
        </w:rPr>
        <w:t>області</w:t>
      </w:r>
      <w:proofErr w:type="spellEnd"/>
      <w:r w:rsidRPr="0064714B">
        <w:rPr>
          <w:rFonts w:ascii="Times New Roman" w:eastAsia="Calibri" w:hAnsi="Times New Roman" w:cs="Times New Roman"/>
          <w:sz w:val="28"/>
          <w:szCs w:val="28"/>
        </w:rPr>
        <w:t xml:space="preserve"> та  району, </w:t>
      </w:r>
      <w:r w:rsidRPr="006471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через  відвідування  занять,  виховних  заходів  вчителів  вищої  категорії,  вчителів І  категорії,  з  метою  </w:t>
      </w:r>
      <w:proofErr w:type="gramStart"/>
      <w:r w:rsidRPr="0064714B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proofErr w:type="gramEnd"/>
      <w:r w:rsidRPr="0064714B">
        <w:rPr>
          <w:rFonts w:ascii="Times New Roman" w:eastAsia="Calibri" w:hAnsi="Times New Roman" w:cs="Times New Roman"/>
          <w:sz w:val="28"/>
          <w:szCs w:val="28"/>
          <w:lang w:val="uk-UA"/>
        </w:rPr>
        <w:t>ідвищення  професійної  майстерності,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6471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застосовувати    інноваційні   форми організації </w:t>
      </w:r>
      <w:proofErr w:type="spellStart"/>
      <w:r w:rsidRPr="006471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навчально</w:t>
      </w:r>
      <w:proofErr w:type="spellEnd"/>
      <w:r w:rsidRPr="006471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виховного процесу, стимулювати  уміння раціонально і творчо мислити, розвивати предметні  навички,   нахили   і   здібності   учнів  та їх пізнавальну активність на основі самостійності, зворотного зв’язку, врахування вікових та психологічних особливостей, моніторингу якості   хімічної 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E71A24" w:rsidRPr="0064714B" w:rsidRDefault="00D85436" w:rsidP="00F32FA5">
      <w:pPr>
        <w:spacing w:after="0"/>
        <w:ind w:left="14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F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</w:t>
      </w:r>
    </w:p>
    <w:p w:rsidR="00D85436" w:rsidRPr="00E71A24" w:rsidRDefault="00D85436" w:rsidP="00D8543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E71A24" w:rsidRPr="002938F8" w:rsidRDefault="00E71A24" w:rsidP="00E71A2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71A24" w:rsidRPr="002938F8" w:rsidRDefault="00E71A24" w:rsidP="00E71A2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71A24" w:rsidRDefault="00E71A24" w:rsidP="00E71A2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71A24" w:rsidRDefault="00E71A24" w:rsidP="00E71A2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71A24" w:rsidRDefault="00E71A24" w:rsidP="00E71A2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32FA5" w:rsidRDefault="00F32FA5" w:rsidP="00E71A2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32FA5" w:rsidRDefault="00F32FA5" w:rsidP="00E71A2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32FA5" w:rsidRDefault="00F32FA5" w:rsidP="00E71A2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32FA5" w:rsidRDefault="00F32FA5" w:rsidP="00E71A2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71A24" w:rsidRPr="002938F8" w:rsidRDefault="00E71A24" w:rsidP="00E71A2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938F8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 № 1</w:t>
      </w:r>
    </w:p>
    <w:p w:rsidR="00E71A24" w:rsidRPr="000F5381" w:rsidRDefault="00E71A24" w:rsidP="00E71A24">
      <w:pPr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  <w:lang w:val="uk-UA"/>
        </w:rPr>
      </w:pPr>
      <w:r w:rsidRPr="000F5381">
        <w:rPr>
          <w:rFonts w:ascii="Times New Roman" w:hAnsi="Times New Roman" w:cs="Times New Roman"/>
          <w:color w:val="365F91" w:themeColor="accent1" w:themeShade="BF"/>
          <w:sz w:val="28"/>
          <w:szCs w:val="28"/>
          <w:lang w:val="uk-UA"/>
        </w:rPr>
        <w:t>Участь  учнів  у  ІІ етапі  олімпіади  з  хімії</w:t>
      </w:r>
    </w:p>
    <w:tbl>
      <w:tblPr>
        <w:tblStyle w:val="a4"/>
        <w:tblW w:w="10200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2833"/>
        <w:gridCol w:w="709"/>
        <w:gridCol w:w="928"/>
        <w:gridCol w:w="771"/>
        <w:gridCol w:w="2266"/>
        <w:gridCol w:w="2124"/>
      </w:tblGrid>
      <w:tr w:rsidR="00F32FA5" w:rsidRPr="00F32FA5" w:rsidTr="0061094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F32FA5" w:rsidRPr="00F32FA5" w:rsidRDefault="00F32FA5" w:rsidP="00F32FA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32F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Кіль-кість</w:t>
            </w:r>
            <w:proofErr w:type="spellEnd"/>
            <w:r w:rsidRPr="00F32F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учнів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Набрано балів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 учня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 вчителя</w:t>
            </w:r>
          </w:p>
        </w:tc>
      </w:tr>
      <w:tr w:rsidR="00F32FA5" w:rsidRPr="00F32FA5" w:rsidTr="00610945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Якимівська</w:t>
            </w:r>
            <w:proofErr w:type="spellEnd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гімназія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Маркін</w:t>
            </w:r>
            <w:proofErr w:type="spellEnd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Павлова Л.В.</w:t>
            </w:r>
          </w:p>
        </w:tc>
      </w:tr>
      <w:tr w:rsidR="00F32FA5" w:rsidRPr="00F32FA5" w:rsidTr="00610945">
        <w:trPr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Братищенко М.Р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Любайкіна</w:t>
            </w:r>
            <w:proofErr w:type="spellEnd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</w:t>
            </w:r>
          </w:p>
        </w:tc>
      </w:tr>
      <w:tr w:rsidR="00F32FA5" w:rsidRPr="00F32FA5" w:rsidTr="00610945">
        <w:trPr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Гога</w:t>
            </w:r>
            <w:proofErr w:type="spellEnd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2FA5" w:rsidRPr="00F32FA5" w:rsidRDefault="00F32FA5" w:rsidP="00F32F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Русіна</w:t>
            </w:r>
            <w:proofErr w:type="spellEnd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Н.Ю.</w:t>
            </w:r>
          </w:p>
        </w:tc>
      </w:tr>
      <w:tr w:rsidR="00F32FA5" w:rsidRPr="00F32FA5" w:rsidTr="00610945">
        <w:trPr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Тюлягін</w:t>
            </w:r>
            <w:proofErr w:type="spellEnd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2FA5" w:rsidRPr="00F32FA5" w:rsidTr="00610945">
        <w:trPr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Дружиненко</w:t>
            </w:r>
            <w:proofErr w:type="spellEnd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2FA5" w:rsidRPr="00F32FA5" w:rsidTr="00610945">
        <w:trPr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Скиба Ю.О.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Костандова</w:t>
            </w:r>
            <w:proofErr w:type="spellEnd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F32FA5" w:rsidRPr="00F32FA5" w:rsidTr="0061094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Якимівська</w:t>
            </w:r>
            <w:proofErr w:type="spellEnd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Бухтіярова</w:t>
            </w:r>
            <w:proofErr w:type="spellEnd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Лапіна Г.Ф.</w:t>
            </w:r>
          </w:p>
        </w:tc>
      </w:tr>
      <w:tr w:rsidR="00F32FA5" w:rsidRPr="00F32FA5" w:rsidTr="00610945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Азовська ЗОШ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Климова В.А.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Толмачова</w:t>
            </w:r>
            <w:proofErr w:type="spellEnd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Л.Є.</w:t>
            </w:r>
          </w:p>
        </w:tc>
      </w:tr>
      <w:tr w:rsidR="00F32FA5" w:rsidRPr="00F32FA5" w:rsidTr="00610945">
        <w:trPr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Третяков</w:t>
            </w:r>
            <w:proofErr w:type="spellEnd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Я.А.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2FA5" w:rsidRPr="00F32FA5" w:rsidTr="00610945">
        <w:trPr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Єрмак А.А.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2FA5" w:rsidRPr="00F32FA5" w:rsidTr="00610945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Атманайська</w:t>
            </w:r>
            <w:proofErr w:type="spellEnd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Лещенко А.Ю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Гладка О.М.</w:t>
            </w:r>
          </w:p>
        </w:tc>
      </w:tr>
      <w:tr w:rsidR="00F32FA5" w:rsidRPr="00F32FA5" w:rsidTr="00610945">
        <w:trPr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Матвієць</w:t>
            </w:r>
            <w:proofErr w:type="spellEnd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2FA5" w:rsidRPr="00F32FA5" w:rsidTr="00610945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Вовчанська ЗОШ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Бадаєва</w:t>
            </w:r>
            <w:proofErr w:type="spellEnd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2FA5" w:rsidRPr="00F32FA5" w:rsidRDefault="00F32FA5" w:rsidP="00F32FA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Поліник</w:t>
            </w:r>
            <w:proofErr w:type="spellEnd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Т.Л.</w:t>
            </w:r>
          </w:p>
        </w:tc>
      </w:tr>
      <w:tr w:rsidR="00F32FA5" w:rsidRPr="00F32FA5" w:rsidTr="00610945">
        <w:trPr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Пономаренко Д.О.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2FA5" w:rsidRPr="00F32FA5" w:rsidTr="00610945">
        <w:trPr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Єфімов І.Є.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2FA5" w:rsidRPr="00F32FA5" w:rsidTr="0061094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Горьківська ЗОШ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Тесленко Ю.Ю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Ходус</w:t>
            </w:r>
            <w:proofErr w:type="spellEnd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</w:p>
        </w:tc>
      </w:tr>
      <w:tr w:rsidR="00F32FA5" w:rsidRPr="00F32FA5" w:rsidTr="00610945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Новоданилівська</w:t>
            </w:r>
            <w:proofErr w:type="spellEnd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Боровик К.Ю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2FA5" w:rsidRPr="00F32FA5" w:rsidRDefault="00F32FA5" w:rsidP="00F32FA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Пахнич</w:t>
            </w:r>
            <w:proofErr w:type="spellEnd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F32FA5" w:rsidRPr="00F32FA5" w:rsidTr="00610945">
        <w:trPr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A5" w:rsidRPr="00F32FA5" w:rsidRDefault="00F32FA5" w:rsidP="00F32F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A5" w:rsidRPr="00F32FA5" w:rsidRDefault="00F32FA5" w:rsidP="00F32F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A5" w:rsidRPr="00F32FA5" w:rsidRDefault="00F32FA5" w:rsidP="00F32F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Гороз</w:t>
            </w:r>
            <w:proofErr w:type="spellEnd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О.Р.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A5" w:rsidRPr="00F32FA5" w:rsidRDefault="00F32FA5" w:rsidP="00F32F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2FA5" w:rsidRPr="00F32FA5" w:rsidTr="0061094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Переможненська</w:t>
            </w:r>
            <w:proofErr w:type="spellEnd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Майнич</w:t>
            </w:r>
            <w:proofErr w:type="spellEnd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Ходус</w:t>
            </w:r>
            <w:proofErr w:type="spellEnd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А.П.</w:t>
            </w:r>
          </w:p>
        </w:tc>
      </w:tr>
      <w:tr w:rsidR="00F32FA5" w:rsidRPr="00F32FA5" w:rsidTr="0061094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Радивонівська</w:t>
            </w:r>
            <w:proofErr w:type="spellEnd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Рощин М.С.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</w:t>
            </w:r>
            <w:proofErr w:type="spellEnd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Л.Г.</w:t>
            </w:r>
          </w:p>
        </w:tc>
      </w:tr>
      <w:tr w:rsidR="00F32FA5" w:rsidRPr="00F32FA5" w:rsidTr="00610945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Чорноземненська</w:t>
            </w:r>
            <w:proofErr w:type="spellEnd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Перепілка Д.С.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</w:t>
            </w:r>
            <w:proofErr w:type="spellEnd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F32FA5" w:rsidRPr="00F32FA5" w:rsidTr="00610945">
        <w:trPr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Вергун А.Ю.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A5" w:rsidRPr="00F32FA5" w:rsidRDefault="00F32FA5" w:rsidP="00F32F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2FA5" w:rsidRPr="00F32FA5" w:rsidTr="0061094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Шелюгівська</w:t>
            </w:r>
            <w:proofErr w:type="spellEnd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Лисенкова</w:t>
            </w:r>
            <w:proofErr w:type="spellEnd"/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Простак О.В.</w:t>
            </w:r>
          </w:p>
        </w:tc>
      </w:tr>
      <w:tr w:rsidR="00F32FA5" w:rsidRPr="00F32FA5" w:rsidTr="00610945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5" w:rsidRPr="00F32FA5" w:rsidRDefault="00F32FA5" w:rsidP="00F32FA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2FA5" w:rsidRPr="00F32FA5" w:rsidRDefault="00F32FA5" w:rsidP="00F32FA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71A24" w:rsidRPr="002938F8" w:rsidRDefault="00E71A24" w:rsidP="00E71A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1A24" w:rsidRPr="00E71A24" w:rsidRDefault="00E71A24" w:rsidP="00F3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71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71A24" w:rsidRPr="00E71A24" w:rsidRDefault="00E71A24" w:rsidP="00E71A2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800000"/>
          <w:sz w:val="32"/>
          <w:szCs w:val="32"/>
          <w:lang w:val="uk-UA" w:eastAsia="ru-RU"/>
        </w:rPr>
      </w:pPr>
    </w:p>
    <w:p w:rsidR="00E71A24" w:rsidRPr="00E71A24" w:rsidRDefault="00E71A24" w:rsidP="00E71A2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800000"/>
          <w:sz w:val="32"/>
          <w:szCs w:val="32"/>
          <w:lang w:val="uk-UA" w:eastAsia="ru-RU"/>
        </w:rPr>
      </w:pPr>
    </w:p>
    <w:p w:rsidR="00E71A24" w:rsidRPr="00E71A24" w:rsidRDefault="00E71A24" w:rsidP="00E71A24">
      <w:pPr>
        <w:spacing w:after="0" w:line="240" w:lineRule="auto"/>
        <w:rPr>
          <w:rFonts w:ascii="Times New Roman" w:eastAsia="Times New Roman" w:hAnsi="Times New Roman" w:cs="Times New Roman"/>
          <w:b/>
          <w:color w:val="800000"/>
          <w:sz w:val="32"/>
          <w:szCs w:val="32"/>
          <w:lang w:val="uk-UA" w:eastAsia="ru-RU"/>
        </w:rPr>
      </w:pPr>
    </w:p>
    <w:p w:rsidR="00E71A24" w:rsidRPr="00E71A24" w:rsidRDefault="00E71A24" w:rsidP="00E71A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71A24" w:rsidRPr="002938F8" w:rsidRDefault="00E71A24" w:rsidP="00E71A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1A24" w:rsidRPr="002938F8" w:rsidRDefault="00E71A24" w:rsidP="00E71A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1A24" w:rsidRPr="002938F8" w:rsidRDefault="00E71A24" w:rsidP="00E71A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1A24" w:rsidRPr="002938F8" w:rsidRDefault="00E71A24" w:rsidP="00E71A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1A24" w:rsidRPr="002938F8" w:rsidRDefault="00E71A24" w:rsidP="00E71A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1A24" w:rsidRPr="002938F8" w:rsidRDefault="00E71A24" w:rsidP="00E71A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1A24" w:rsidRDefault="00E71A24" w:rsidP="00E71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7D07" w:rsidRDefault="00E67D07"/>
    <w:sectPr w:rsidR="00E67D07" w:rsidSect="00C574C5">
      <w:footerReference w:type="default" r:id="rId11"/>
      <w:pgSz w:w="11906" w:h="16838"/>
      <w:pgMar w:top="993" w:right="56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074" w:rsidRDefault="00EA0074">
      <w:pPr>
        <w:spacing w:after="0" w:line="240" w:lineRule="auto"/>
      </w:pPr>
      <w:r>
        <w:separator/>
      </w:r>
    </w:p>
  </w:endnote>
  <w:endnote w:type="continuationSeparator" w:id="0">
    <w:p w:rsidR="00EA0074" w:rsidRDefault="00EA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choolBook_Alx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745896"/>
      <w:docPartObj>
        <w:docPartGallery w:val="Page Numbers (Bottom of Page)"/>
        <w:docPartUnique/>
      </w:docPartObj>
    </w:sdtPr>
    <w:sdtEndPr/>
    <w:sdtContent>
      <w:p w:rsidR="00610945" w:rsidRDefault="0061094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CE6">
          <w:rPr>
            <w:noProof/>
          </w:rPr>
          <w:t>9</w:t>
        </w:r>
        <w:r>
          <w:fldChar w:fldCharType="end"/>
        </w:r>
      </w:p>
    </w:sdtContent>
  </w:sdt>
  <w:p w:rsidR="00610945" w:rsidRDefault="006109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074" w:rsidRDefault="00EA0074">
      <w:pPr>
        <w:spacing w:after="0" w:line="240" w:lineRule="auto"/>
      </w:pPr>
      <w:r>
        <w:separator/>
      </w:r>
    </w:p>
  </w:footnote>
  <w:footnote w:type="continuationSeparator" w:id="0">
    <w:p w:rsidR="00EA0074" w:rsidRDefault="00EA0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448FA0"/>
    <w:lvl w:ilvl="0">
      <w:numFmt w:val="bullet"/>
      <w:lvlText w:val="*"/>
      <w:lvlJc w:val="left"/>
    </w:lvl>
  </w:abstractNum>
  <w:abstractNum w:abstractNumId="1">
    <w:nsid w:val="01D7522F"/>
    <w:multiLevelType w:val="hybridMultilevel"/>
    <w:tmpl w:val="2C6C7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A5641"/>
    <w:multiLevelType w:val="hybridMultilevel"/>
    <w:tmpl w:val="65FA88DC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24611"/>
    <w:multiLevelType w:val="hybridMultilevel"/>
    <w:tmpl w:val="8EA82CD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4DC3C6C"/>
    <w:multiLevelType w:val="hybridMultilevel"/>
    <w:tmpl w:val="96DAC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B7749"/>
    <w:multiLevelType w:val="hybridMultilevel"/>
    <w:tmpl w:val="ABB84476"/>
    <w:lvl w:ilvl="0" w:tplc="042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1A6026"/>
    <w:multiLevelType w:val="hybridMultilevel"/>
    <w:tmpl w:val="49EE80E4"/>
    <w:lvl w:ilvl="0" w:tplc="6EAEA5C8">
      <w:start w:val="1"/>
      <w:numFmt w:val="bullet"/>
      <w:lvlText w:val="-"/>
      <w:lvlJc w:val="left"/>
      <w:pPr>
        <w:ind w:left="720" w:hanging="360"/>
      </w:p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B95D18"/>
    <w:multiLevelType w:val="hybridMultilevel"/>
    <w:tmpl w:val="562ADEB6"/>
    <w:lvl w:ilvl="0" w:tplc="95A0B898">
      <w:start w:val="3"/>
      <w:numFmt w:val="decimal"/>
      <w:lvlText w:val="%1."/>
      <w:lvlJc w:val="left"/>
      <w:pPr>
        <w:ind w:left="585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F54BFD"/>
    <w:multiLevelType w:val="hybridMultilevel"/>
    <w:tmpl w:val="C8422AF8"/>
    <w:lvl w:ilvl="0" w:tplc="0422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537B94"/>
    <w:multiLevelType w:val="multilevel"/>
    <w:tmpl w:val="4C9C74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0">
    <w:nsid w:val="55A308C9"/>
    <w:multiLevelType w:val="hybridMultilevel"/>
    <w:tmpl w:val="6070388C"/>
    <w:lvl w:ilvl="0" w:tplc="6EAEA5C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9647B"/>
    <w:multiLevelType w:val="multilevel"/>
    <w:tmpl w:val="35D490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2">
    <w:nsid w:val="70BD40F4"/>
    <w:multiLevelType w:val="hybridMultilevel"/>
    <w:tmpl w:val="C8EA469C"/>
    <w:lvl w:ilvl="0" w:tplc="C13472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85487"/>
    <w:multiLevelType w:val="multilevel"/>
    <w:tmpl w:val="D602CAD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11"/>
  </w:num>
  <w:num w:numId="11">
    <w:abstractNumId w:val="13"/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DF"/>
    <w:rsid w:val="001716DF"/>
    <w:rsid w:val="003C1122"/>
    <w:rsid w:val="00541DC7"/>
    <w:rsid w:val="00584509"/>
    <w:rsid w:val="005A32A9"/>
    <w:rsid w:val="00610945"/>
    <w:rsid w:val="0064714B"/>
    <w:rsid w:val="0068418F"/>
    <w:rsid w:val="006D1C5A"/>
    <w:rsid w:val="007C288B"/>
    <w:rsid w:val="00931CE6"/>
    <w:rsid w:val="009550FE"/>
    <w:rsid w:val="009A26D5"/>
    <w:rsid w:val="00B37A95"/>
    <w:rsid w:val="00C574C5"/>
    <w:rsid w:val="00C72394"/>
    <w:rsid w:val="00D417A5"/>
    <w:rsid w:val="00D60C7A"/>
    <w:rsid w:val="00D62D73"/>
    <w:rsid w:val="00D85436"/>
    <w:rsid w:val="00E43E4F"/>
    <w:rsid w:val="00E67D07"/>
    <w:rsid w:val="00E71A24"/>
    <w:rsid w:val="00EA0074"/>
    <w:rsid w:val="00F32FA5"/>
    <w:rsid w:val="00F62610"/>
    <w:rsid w:val="00F8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24"/>
  </w:style>
  <w:style w:type="paragraph" w:styleId="1">
    <w:name w:val="heading 1"/>
    <w:basedOn w:val="a"/>
    <w:next w:val="a"/>
    <w:link w:val="10"/>
    <w:uiPriority w:val="9"/>
    <w:qFormat/>
    <w:rsid w:val="00E43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43E4F"/>
    <w:pPr>
      <w:spacing w:after="0" w:line="240" w:lineRule="auto"/>
    </w:pPr>
  </w:style>
  <w:style w:type="table" w:styleId="a4">
    <w:name w:val="Table Grid"/>
    <w:basedOn w:val="a1"/>
    <w:uiPriority w:val="59"/>
    <w:rsid w:val="00E71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E71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1A24"/>
  </w:style>
  <w:style w:type="paragraph" w:styleId="a7">
    <w:name w:val="Balloon Text"/>
    <w:basedOn w:val="a"/>
    <w:link w:val="a8"/>
    <w:uiPriority w:val="99"/>
    <w:semiHidden/>
    <w:unhideWhenUsed/>
    <w:rsid w:val="00E7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A2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50FE"/>
    <w:pPr>
      <w:ind w:left="720"/>
      <w:contextualSpacing/>
    </w:pPr>
  </w:style>
  <w:style w:type="table" w:customStyle="1" w:styleId="11">
    <w:name w:val="Сетка таблицы1"/>
    <w:basedOn w:val="a1"/>
    <w:next w:val="a4"/>
    <w:rsid w:val="006D1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24"/>
  </w:style>
  <w:style w:type="paragraph" w:styleId="1">
    <w:name w:val="heading 1"/>
    <w:basedOn w:val="a"/>
    <w:next w:val="a"/>
    <w:link w:val="10"/>
    <w:uiPriority w:val="9"/>
    <w:qFormat/>
    <w:rsid w:val="00E43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43E4F"/>
    <w:pPr>
      <w:spacing w:after="0" w:line="240" w:lineRule="auto"/>
    </w:pPr>
  </w:style>
  <w:style w:type="table" w:styleId="a4">
    <w:name w:val="Table Grid"/>
    <w:basedOn w:val="a1"/>
    <w:uiPriority w:val="59"/>
    <w:rsid w:val="00E71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E71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1A24"/>
  </w:style>
  <w:style w:type="paragraph" w:styleId="a7">
    <w:name w:val="Balloon Text"/>
    <w:basedOn w:val="a"/>
    <w:link w:val="a8"/>
    <w:uiPriority w:val="99"/>
    <w:semiHidden/>
    <w:unhideWhenUsed/>
    <w:rsid w:val="00E7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A2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50FE"/>
    <w:pPr>
      <w:ind w:left="720"/>
      <w:contextualSpacing/>
    </w:pPr>
  </w:style>
  <w:style w:type="table" w:customStyle="1" w:styleId="11">
    <w:name w:val="Сетка таблицы1"/>
    <w:basedOn w:val="a1"/>
    <w:next w:val="a4"/>
    <w:rsid w:val="006D1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cp:lastPrinted>2014-04-21T18:47:00Z</cp:lastPrinted>
  <dcterms:created xsi:type="dcterms:W3CDTF">2014-04-21T13:00:00Z</dcterms:created>
  <dcterms:modified xsi:type="dcterms:W3CDTF">2014-07-03T14:09:00Z</dcterms:modified>
</cp:coreProperties>
</file>